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1B972" w14:textId="77777777" w:rsidR="00A40F70" w:rsidRPr="00347D76" w:rsidRDefault="00A40F70" w:rsidP="00C50B64">
      <w:pPr>
        <w:widowControl/>
        <w:overflowPunct/>
        <w:autoSpaceDE/>
        <w:autoSpaceDN/>
        <w:adjustRightInd/>
        <w:spacing w:line="276" w:lineRule="auto"/>
        <w:jc w:val="center"/>
        <w:textAlignment w:val="auto"/>
        <w:rPr>
          <w:b/>
          <w:sz w:val="36"/>
          <w:szCs w:val="36"/>
          <w:lang w:val="en-US"/>
        </w:rPr>
      </w:pPr>
      <w:r w:rsidRPr="00347D76">
        <w:rPr>
          <w:noProof/>
          <w:lang w:val="en-US"/>
        </w:rPr>
        <w:drawing>
          <wp:inline distT="0" distB="0" distL="0" distR="0" wp14:anchorId="1AE07E14" wp14:editId="18930BAF">
            <wp:extent cx="3349128" cy="1666403"/>
            <wp:effectExtent l="0" t="0" r="3810" b="0"/>
            <wp:docPr id="4" name="Picture 4" descr="University of Chemistry and Technology Prague | Study in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Chemistry and Technology Prague | Study in Euro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3932" cy="1693672"/>
                    </a:xfrm>
                    <a:prstGeom prst="rect">
                      <a:avLst/>
                    </a:prstGeom>
                    <a:noFill/>
                    <a:ln>
                      <a:noFill/>
                    </a:ln>
                  </pic:spPr>
                </pic:pic>
              </a:graphicData>
            </a:graphic>
          </wp:inline>
        </w:drawing>
      </w:r>
    </w:p>
    <w:p w14:paraId="11F4E1A4" w14:textId="163BD7D1" w:rsidR="004C4DFD" w:rsidRPr="00347D76" w:rsidRDefault="007F012A" w:rsidP="00C50B64">
      <w:pPr>
        <w:widowControl/>
        <w:overflowPunct/>
        <w:autoSpaceDE/>
        <w:autoSpaceDN/>
        <w:adjustRightInd/>
        <w:spacing w:line="276" w:lineRule="auto"/>
        <w:jc w:val="center"/>
        <w:textAlignment w:val="auto"/>
        <w:rPr>
          <w:b/>
          <w:sz w:val="36"/>
          <w:szCs w:val="36"/>
          <w:lang w:val="en-US"/>
        </w:rPr>
      </w:pPr>
      <w:r w:rsidRPr="00347D76">
        <w:rPr>
          <w:b/>
          <w:sz w:val="60"/>
          <w:szCs w:val="60"/>
          <w:u w:val="single"/>
          <w:lang w:val="en-US"/>
        </w:rPr>
        <w:br/>
      </w:r>
      <w:r w:rsidR="00A40F70" w:rsidRPr="00347D76">
        <w:rPr>
          <w:b/>
          <w:sz w:val="36"/>
          <w:szCs w:val="36"/>
          <w:lang w:val="en-US"/>
        </w:rPr>
        <w:t>Faculty of Food and Biochemical Technology</w:t>
      </w:r>
    </w:p>
    <w:p w14:paraId="1B6D7EEF" w14:textId="435003FE" w:rsidR="004C4DFD" w:rsidRPr="00347D76" w:rsidRDefault="00A40F70" w:rsidP="00C50B64">
      <w:pPr>
        <w:widowControl/>
        <w:overflowPunct/>
        <w:autoSpaceDE/>
        <w:autoSpaceDN/>
        <w:adjustRightInd/>
        <w:spacing w:before="240" w:line="276" w:lineRule="auto"/>
        <w:jc w:val="center"/>
        <w:textAlignment w:val="auto"/>
        <w:rPr>
          <w:b/>
          <w:sz w:val="36"/>
          <w:szCs w:val="36"/>
          <w:lang w:val="en-US"/>
        </w:rPr>
      </w:pPr>
      <w:r w:rsidRPr="00347D76">
        <w:rPr>
          <w:b/>
          <w:sz w:val="36"/>
          <w:szCs w:val="36"/>
          <w:lang w:val="en-US"/>
        </w:rPr>
        <w:t>Department of Food Analysis and Nutrition</w:t>
      </w:r>
    </w:p>
    <w:p w14:paraId="7A81028D" w14:textId="77777777" w:rsidR="004C4DFD" w:rsidRPr="00347D76" w:rsidRDefault="004C4DFD" w:rsidP="00C50B64">
      <w:pPr>
        <w:widowControl/>
        <w:overflowPunct/>
        <w:autoSpaceDE/>
        <w:autoSpaceDN/>
        <w:adjustRightInd/>
        <w:spacing w:line="276" w:lineRule="auto"/>
        <w:jc w:val="center"/>
        <w:textAlignment w:val="auto"/>
        <w:rPr>
          <w:b/>
          <w:sz w:val="36"/>
          <w:szCs w:val="36"/>
          <w:lang w:val="en-US"/>
        </w:rPr>
      </w:pPr>
    </w:p>
    <w:p w14:paraId="4FEF639A" w14:textId="77777777" w:rsidR="004C4DFD" w:rsidRPr="00347D76" w:rsidRDefault="004C4DFD" w:rsidP="00C50B64">
      <w:pPr>
        <w:widowControl/>
        <w:overflowPunct/>
        <w:autoSpaceDE/>
        <w:autoSpaceDN/>
        <w:adjustRightInd/>
        <w:spacing w:line="276" w:lineRule="auto"/>
        <w:jc w:val="center"/>
        <w:textAlignment w:val="auto"/>
        <w:rPr>
          <w:b/>
          <w:i/>
          <w:sz w:val="44"/>
          <w:szCs w:val="44"/>
          <w:lang w:val="en-US"/>
        </w:rPr>
      </w:pPr>
    </w:p>
    <w:p w14:paraId="424BE158" w14:textId="093C1B4D" w:rsidR="004C4DFD" w:rsidRPr="00347D76" w:rsidRDefault="00A40F70" w:rsidP="00C50B64">
      <w:pPr>
        <w:widowControl/>
        <w:overflowPunct/>
        <w:autoSpaceDE/>
        <w:autoSpaceDN/>
        <w:adjustRightInd/>
        <w:spacing w:line="276" w:lineRule="auto"/>
        <w:jc w:val="center"/>
        <w:textAlignment w:val="auto"/>
        <w:rPr>
          <w:b/>
          <w:i/>
          <w:sz w:val="48"/>
          <w:szCs w:val="48"/>
          <w:lang w:val="en-US"/>
        </w:rPr>
      </w:pPr>
      <w:r w:rsidRPr="00347D76">
        <w:rPr>
          <w:b/>
          <w:i/>
          <w:sz w:val="48"/>
          <w:szCs w:val="48"/>
          <w:lang w:val="en-US"/>
        </w:rPr>
        <w:t>LABORATORY OF INSTRUMENTAL METHODS IN FOOD ANALYSIS</w:t>
      </w:r>
    </w:p>
    <w:p w14:paraId="12BFB87B" w14:textId="77777777" w:rsidR="004C4DFD" w:rsidRPr="00347D76" w:rsidRDefault="004C4DFD" w:rsidP="00C50B64">
      <w:pPr>
        <w:widowControl/>
        <w:overflowPunct/>
        <w:autoSpaceDE/>
        <w:autoSpaceDN/>
        <w:adjustRightInd/>
        <w:spacing w:line="276" w:lineRule="auto"/>
        <w:jc w:val="center"/>
        <w:textAlignment w:val="auto"/>
        <w:rPr>
          <w:b/>
          <w:i/>
          <w:sz w:val="44"/>
          <w:szCs w:val="44"/>
          <w:lang w:val="en-US"/>
        </w:rPr>
      </w:pPr>
    </w:p>
    <w:p w14:paraId="7AE8735A" w14:textId="77777777" w:rsidR="004C4DFD" w:rsidRPr="00347D76" w:rsidRDefault="004C4DFD" w:rsidP="00C50B64">
      <w:pPr>
        <w:widowControl/>
        <w:overflowPunct/>
        <w:autoSpaceDE/>
        <w:autoSpaceDN/>
        <w:adjustRightInd/>
        <w:spacing w:line="276" w:lineRule="auto"/>
        <w:jc w:val="center"/>
        <w:textAlignment w:val="auto"/>
        <w:rPr>
          <w:b/>
          <w:i/>
          <w:sz w:val="44"/>
          <w:szCs w:val="44"/>
          <w:lang w:val="en-US"/>
        </w:rPr>
      </w:pPr>
    </w:p>
    <w:p w14:paraId="032AC8FF" w14:textId="3A7CE2BA" w:rsidR="004C4DFD" w:rsidRPr="00347D76" w:rsidRDefault="00A40F70" w:rsidP="00C50B64">
      <w:pPr>
        <w:widowControl/>
        <w:overflowPunct/>
        <w:autoSpaceDE/>
        <w:autoSpaceDN/>
        <w:adjustRightInd/>
        <w:spacing w:line="276" w:lineRule="auto"/>
        <w:jc w:val="center"/>
        <w:textAlignment w:val="auto"/>
        <w:rPr>
          <w:b/>
          <w:caps/>
          <w:sz w:val="44"/>
          <w:szCs w:val="44"/>
          <w:lang w:val="en-US"/>
        </w:rPr>
      </w:pPr>
      <w:r w:rsidRPr="00347D76">
        <w:rPr>
          <w:b/>
          <w:sz w:val="44"/>
          <w:szCs w:val="44"/>
          <w:lang w:val="en-US"/>
        </w:rPr>
        <w:t>Coupling bioanalytical assays to smartphone-based devices in food analysis</w:t>
      </w:r>
    </w:p>
    <w:p w14:paraId="429E2C72" w14:textId="77777777" w:rsidR="004C4DFD" w:rsidRPr="00347D76" w:rsidRDefault="004C4DFD" w:rsidP="00C50B64">
      <w:pPr>
        <w:widowControl/>
        <w:overflowPunct/>
        <w:autoSpaceDE/>
        <w:autoSpaceDN/>
        <w:adjustRightInd/>
        <w:spacing w:line="276" w:lineRule="auto"/>
        <w:jc w:val="center"/>
        <w:textAlignment w:val="auto"/>
        <w:rPr>
          <w:b/>
          <w:caps/>
          <w:sz w:val="32"/>
          <w:szCs w:val="32"/>
          <w:lang w:val="en-US"/>
        </w:rPr>
      </w:pPr>
    </w:p>
    <w:p w14:paraId="491BE8B5" w14:textId="77777777" w:rsidR="004C4DFD" w:rsidRPr="00347D76" w:rsidRDefault="004C4DFD" w:rsidP="00C50B64">
      <w:pPr>
        <w:widowControl/>
        <w:overflowPunct/>
        <w:autoSpaceDE/>
        <w:autoSpaceDN/>
        <w:adjustRightInd/>
        <w:spacing w:line="276" w:lineRule="auto"/>
        <w:jc w:val="center"/>
        <w:textAlignment w:val="auto"/>
        <w:rPr>
          <w:b/>
          <w:caps/>
          <w:sz w:val="32"/>
          <w:szCs w:val="32"/>
          <w:lang w:val="en-US"/>
        </w:rPr>
      </w:pPr>
    </w:p>
    <w:p w14:paraId="4EBB32AE" w14:textId="77777777" w:rsidR="004C4DFD" w:rsidRPr="00347D76" w:rsidRDefault="004C4DFD" w:rsidP="00C50B64">
      <w:pPr>
        <w:widowControl/>
        <w:overflowPunct/>
        <w:autoSpaceDE/>
        <w:autoSpaceDN/>
        <w:adjustRightInd/>
        <w:spacing w:line="276" w:lineRule="auto"/>
        <w:jc w:val="center"/>
        <w:textAlignment w:val="auto"/>
        <w:rPr>
          <w:b/>
          <w:caps/>
          <w:sz w:val="32"/>
          <w:szCs w:val="32"/>
          <w:lang w:val="en-US"/>
        </w:rPr>
      </w:pPr>
    </w:p>
    <w:p w14:paraId="7E942F9F" w14:textId="77777777" w:rsidR="004C4DFD" w:rsidRPr="00347D76" w:rsidRDefault="004C4DFD" w:rsidP="00C50B64">
      <w:pPr>
        <w:widowControl/>
        <w:overflowPunct/>
        <w:autoSpaceDE/>
        <w:autoSpaceDN/>
        <w:adjustRightInd/>
        <w:spacing w:line="276" w:lineRule="auto"/>
        <w:jc w:val="center"/>
        <w:textAlignment w:val="auto"/>
        <w:rPr>
          <w:b/>
          <w:caps/>
          <w:sz w:val="32"/>
          <w:szCs w:val="32"/>
          <w:lang w:val="en-US"/>
        </w:rPr>
      </w:pPr>
    </w:p>
    <w:p w14:paraId="15F3F4FA" w14:textId="77777777" w:rsidR="004C4DFD" w:rsidRPr="00347D76" w:rsidRDefault="004C4DFD" w:rsidP="00C50B64">
      <w:pPr>
        <w:widowControl/>
        <w:overflowPunct/>
        <w:autoSpaceDE/>
        <w:autoSpaceDN/>
        <w:adjustRightInd/>
        <w:spacing w:line="276" w:lineRule="auto"/>
        <w:jc w:val="center"/>
        <w:textAlignment w:val="auto"/>
        <w:rPr>
          <w:b/>
          <w:caps/>
          <w:sz w:val="32"/>
          <w:szCs w:val="32"/>
          <w:lang w:val="en-US"/>
        </w:rPr>
      </w:pPr>
    </w:p>
    <w:p w14:paraId="4B09EB38" w14:textId="77777777" w:rsidR="004C4DFD" w:rsidRPr="00347D76" w:rsidRDefault="004C4DFD" w:rsidP="00C50B64">
      <w:pPr>
        <w:widowControl/>
        <w:overflowPunct/>
        <w:autoSpaceDE/>
        <w:autoSpaceDN/>
        <w:adjustRightInd/>
        <w:spacing w:line="276" w:lineRule="auto"/>
        <w:jc w:val="center"/>
        <w:textAlignment w:val="auto"/>
        <w:rPr>
          <w:b/>
          <w:caps/>
          <w:sz w:val="32"/>
          <w:szCs w:val="32"/>
          <w:lang w:val="en-US"/>
        </w:rPr>
      </w:pPr>
    </w:p>
    <w:p w14:paraId="5691995C" w14:textId="77777777" w:rsidR="004C4DFD" w:rsidRPr="00347D76" w:rsidRDefault="004C4DFD" w:rsidP="00C50B64">
      <w:pPr>
        <w:widowControl/>
        <w:overflowPunct/>
        <w:autoSpaceDE/>
        <w:autoSpaceDN/>
        <w:adjustRightInd/>
        <w:spacing w:line="276" w:lineRule="auto"/>
        <w:jc w:val="center"/>
        <w:textAlignment w:val="auto"/>
        <w:rPr>
          <w:b/>
          <w:caps/>
          <w:sz w:val="32"/>
          <w:szCs w:val="32"/>
          <w:lang w:val="en-US"/>
        </w:rPr>
      </w:pPr>
    </w:p>
    <w:p w14:paraId="040D745F" w14:textId="77777777" w:rsidR="00792F69" w:rsidRPr="00347D76" w:rsidRDefault="00792F69" w:rsidP="00C50B64">
      <w:pPr>
        <w:widowControl/>
        <w:pBdr>
          <w:top w:val="single" w:sz="4" w:space="0" w:color="auto"/>
        </w:pBdr>
        <w:overflowPunct/>
        <w:autoSpaceDE/>
        <w:autoSpaceDN/>
        <w:adjustRightInd/>
        <w:spacing w:line="276" w:lineRule="auto"/>
        <w:jc w:val="center"/>
        <w:textAlignment w:val="auto"/>
        <w:rPr>
          <w:b/>
          <w:sz w:val="36"/>
          <w:szCs w:val="36"/>
          <w:lang w:val="en-US"/>
        </w:rPr>
      </w:pPr>
    </w:p>
    <w:p w14:paraId="40968C55" w14:textId="385ADCF2" w:rsidR="002B266C" w:rsidRPr="00347D76" w:rsidRDefault="00A40F70" w:rsidP="00C50B64">
      <w:pPr>
        <w:widowControl/>
        <w:overflowPunct/>
        <w:autoSpaceDE/>
        <w:autoSpaceDN/>
        <w:adjustRightInd/>
        <w:spacing w:line="276" w:lineRule="auto"/>
        <w:jc w:val="center"/>
        <w:textAlignment w:val="auto"/>
        <w:rPr>
          <w:i/>
          <w:sz w:val="28"/>
          <w:szCs w:val="28"/>
          <w:lang w:val="en-US"/>
        </w:rPr>
      </w:pPr>
      <w:r w:rsidRPr="00347D76">
        <w:rPr>
          <w:i/>
          <w:sz w:val="28"/>
          <w:szCs w:val="28"/>
          <w:lang w:val="en-US"/>
        </w:rPr>
        <w:t>by</w:t>
      </w:r>
      <w:r w:rsidR="002B266C" w:rsidRPr="00347D76">
        <w:rPr>
          <w:i/>
          <w:sz w:val="28"/>
          <w:szCs w:val="28"/>
          <w:lang w:val="en-US"/>
        </w:rPr>
        <w:t xml:space="preserve"> </w:t>
      </w:r>
      <w:r w:rsidRPr="00347D76">
        <w:rPr>
          <w:i/>
          <w:sz w:val="28"/>
          <w:szCs w:val="28"/>
          <w:lang w:val="en-US"/>
        </w:rPr>
        <w:t xml:space="preserve">Aris Tsagkaris </w:t>
      </w:r>
      <w:r w:rsidR="00ED38B9" w:rsidRPr="00347D76">
        <w:rPr>
          <w:i/>
          <w:sz w:val="28"/>
          <w:szCs w:val="28"/>
          <w:lang w:val="en-US"/>
        </w:rPr>
        <w:t>M. Sc.,</w:t>
      </w:r>
      <w:r w:rsidR="0068690C" w:rsidRPr="00347D76">
        <w:rPr>
          <w:i/>
          <w:sz w:val="28"/>
          <w:szCs w:val="28"/>
          <w:lang w:val="en-US"/>
        </w:rPr>
        <w:t xml:space="preserve"> Ph.D</w:t>
      </w:r>
      <w:r w:rsidR="002D2311" w:rsidRPr="00347D76">
        <w:rPr>
          <w:i/>
          <w:sz w:val="28"/>
          <w:szCs w:val="28"/>
          <w:lang w:val="en-US"/>
        </w:rPr>
        <w:t>.</w:t>
      </w:r>
      <w:bookmarkStart w:id="0" w:name="_Toc303073969"/>
    </w:p>
    <w:p w14:paraId="0AB12129" w14:textId="7EBA6F9D" w:rsidR="00A21F52" w:rsidRPr="00347D76" w:rsidRDefault="00ED38B9" w:rsidP="00C50B64">
      <w:pPr>
        <w:pStyle w:val="Heading1"/>
        <w:spacing w:after="240" w:line="276" w:lineRule="auto"/>
        <w:jc w:val="both"/>
        <w:rPr>
          <w:rFonts w:ascii="Times New Roman" w:hAnsi="Times New Roman"/>
          <w:sz w:val="28"/>
          <w:szCs w:val="28"/>
          <w:lang w:val="en-US"/>
        </w:rPr>
      </w:pPr>
      <w:bookmarkStart w:id="1" w:name="_Toc524381790"/>
      <w:r w:rsidRPr="00347D76">
        <w:rPr>
          <w:rFonts w:ascii="Times New Roman" w:hAnsi="Times New Roman"/>
          <w:sz w:val="28"/>
          <w:szCs w:val="28"/>
          <w:lang w:val="en-US"/>
        </w:rPr>
        <w:t>SCOPE AND OBJECTIVES</w:t>
      </w:r>
    </w:p>
    <w:p w14:paraId="4F715504" w14:textId="336EBD3D" w:rsidR="00572BF2" w:rsidRPr="00347D76" w:rsidRDefault="00572BF2" w:rsidP="00C50B64">
      <w:pPr>
        <w:spacing w:line="276" w:lineRule="auto"/>
        <w:ind w:firstLine="720"/>
        <w:jc w:val="both"/>
        <w:rPr>
          <w:lang w:val="en-US"/>
        </w:rPr>
      </w:pPr>
      <w:r w:rsidRPr="00347D76">
        <w:rPr>
          <w:lang w:val="en-US"/>
        </w:rPr>
        <w:t xml:space="preserve">This exercise aims to introduce fundamental principles on bioanalytical assays and the novel opportunities introduced by their hyphenation to smartphones. </w:t>
      </w:r>
      <w:r w:rsidR="004A5D3B" w:rsidRPr="00347D76">
        <w:rPr>
          <w:lang w:val="en-US"/>
        </w:rPr>
        <w:t>The e</w:t>
      </w:r>
      <w:r w:rsidRPr="00347D76">
        <w:rPr>
          <w:lang w:val="en-US"/>
        </w:rPr>
        <w:t>xercise objectives are</w:t>
      </w:r>
      <w:r w:rsidR="008F1690" w:rsidRPr="00347D76">
        <w:rPr>
          <w:lang w:val="en-US"/>
        </w:rPr>
        <w:t xml:space="preserve"> to</w:t>
      </w:r>
      <w:r w:rsidRPr="00347D76">
        <w:rPr>
          <w:lang w:val="en-US"/>
        </w:rPr>
        <w:t>:</w:t>
      </w:r>
    </w:p>
    <w:p w14:paraId="33124AF0" w14:textId="1C387101" w:rsidR="00572BF2" w:rsidRPr="00347D76" w:rsidRDefault="00572BF2" w:rsidP="00C50B64">
      <w:pPr>
        <w:pStyle w:val="ListParagraph"/>
        <w:numPr>
          <w:ilvl w:val="0"/>
          <w:numId w:val="32"/>
        </w:numPr>
        <w:spacing w:line="276" w:lineRule="auto"/>
        <w:jc w:val="both"/>
        <w:rPr>
          <w:lang w:val="en-US"/>
        </w:rPr>
      </w:pPr>
      <w:r w:rsidRPr="00347D76">
        <w:rPr>
          <w:lang w:val="en-US"/>
        </w:rPr>
        <w:t>Understand biorecognition concept</w:t>
      </w:r>
      <w:r w:rsidR="004A5D3B" w:rsidRPr="00347D76">
        <w:rPr>
          <w:lang w:val="en-US"/>
        </w:rPr>
        <w:t>s</w:t>
      </w:r>
      <w:r w:rsidRPr="00347D76">
        <w:rPr>
          <w:lang w:val="en-US"/>
        </w:rPr>
        <w:t xml:space="preserve"> by using immuno- and enzyme-assays</w:t>
      </w:r>
      <w:r w:rsidR="004A5D3B" w:rsidRPr="00347D76">
        <w:rPr>
          <w:lang w:val="en-US"/>
        </w:rPr>
        <w:t>.</w:t>
      </w:r>
    </w:p>
    <w:p w14:paraId="198BA5D1" w14:textId="5AF8BE4A" w:rsidR="00572BF2" w:rsidRPr="00347D76" w:rsidRDefault="00572BF2" w:rsidP="00C50B64">
      <w:pPr>
        <w:pStyle w:val="ListParagraph"/>
        <w:numPr>
          <w:ilvl w:val="0"/>
          <w:numId w:val="32"/>
        </w:numPr>
        <w:spacing w:line="276" w:lineRule="auto"/>
        <w:jc w:val="both"/>
        <w:rPr>
          <w:lang w:val="en-US"/>
        </w:rPr>
      </w:pPr>
      <w:r w:rsidRPr="00347D76">
        <w:rPr>
          <w:lang w:val="en-US"/>
        </w:rPr>
        <w:t xml:space="preserve">Calculate </w:t>
      </w:r>
      <w:r w:rsidR="004A5D3B" w:rsidRPr="00347D76">
        <w:rPr>
          <w:lang w:val="en-US"/>
        </w:rPr>
        <w:t>and understand the meaning of half maximal inhibitory concentration (IC</w:t>
      </w:r>
      <w:r w:rsidR="004A5D3B" w:rsidRPr="00347D76">
        <w:rPr>
          <w:vertAlign w:val="subscript"/>
          <w:lang w:val="en-US"/>
        </w:rPr>
        <w:t>50</w:t>
      </w:r>
      <w:r w:rsidR="004A5D3B" w:rsidRPr="00347D76">
        <w:rPr>
          <w:lang w:val="en-US"/>
        </w:rPr>
        <w:t>) and cross-reactivity.</w:t>
      </w:r>
    </w:p>
    <w:p w14:paraId="5D9C3E8B" w14:textId="44EFE5FF" w:rsidR="004A5D3B" w:rsidRPr="00347D76" w:rsidRDefault="004A5D3B" w:rsidP="00C50B64">
      <w:pPr>
        <w:pStyle w:val="ListParagraph"/>
        <w:numPr>
          <w:ilvl w:val="0"/>
          <w:numId w:val="32"/>
        </w:numPr>
        <w:spacing w:line="276" w:lineRule="auto"/>
        <w:jc w:val="both"/>
        <w:rPr>
          <w:lang w:val="en-US"/>
        </w:rPr>
      </w:pPr>
      <w:r w:rsidRPr="00347D76">
        <w:rPr>
          <w:lang w:val="en-US"/>
        </w:rPr>
        <w:t xml:space="preserve">Understand the importance of using multidisciplinary approaches in food analysis, by using </w:t>
      </w:r>
      <w:r w:rsidRPr="00347D76">
        <w:rPr>
          <w:szCs w:val="24"/>
          <w:lang w:val="en-US" w:eastAsia="ar-SA"/>
        </w:rPr>
        <w:t>computer aided design (CAD)</w:t>
      </w:r>
      <w:r w:rsidRPr="00347D76">
        <w:rPr>
          <w:szCs w:val="24"/>
          <w:lang w:val="en-US" w:eastAsia="ar-SA"/>
        </w:rPr>
        <w:t xml:space="preserve"> software and 3D-printing.</w:t>
      </w:r>
    </w:p>
    <w:p w14:paraId="42573A0F" w14:textId="278332A3" w:rsidR="004A5D3B" w:rsidRPr="00347D76" w:rsidRDefault="008F1690" w:rsidP="00C50B64">
      <w:pPr>
        <w:pStyle w:val="ListParagraph"/>
        <w:numPr>
          <w:ilvl w:val="0"/>
          <w:numId w:val="32"/>
        </w:numPr>
        <w:spacing w:line="276" w:lineRule="auto"/>
        <w:jc w:val="both"/>
        <w:rPr>
          <w:lang w:val="en-US"/>
        </w:rPr>
      </w:pPr>
      <w:r w:rsidRPr="00347D76">
        <w:rPr>
          <w:lang w:val="en-US"/>
        </w:rPr>
        <w:t>Perform</w:t>
      </w:r>
      <w:r w:rsidR="004A5D3B" w:rsidRPr="00347D76">
        <w:rPr>
          <w:lang w:val="en-US"/>
        </w:rPr>
        <w:t xml:space="preserve"> smartphone-based </w:t>
      </w:r>
      <w:r w:rsidRPr="00347D76">
        <w:rPr>
          <w:lang w:val="en-US"/>
        </w:rPr>
        <w:t>analysis, a novel approach with great potential in the food analysis field.</w:t>
      </w:r>
    </w:p>
    <w:p w14:paraId="19A8C3EA" w14:textId="77777777" w:rsidR="00572BF2" w:rsidRPr="00347D76" w:rsidRDefault="00572BF2" w:rsidP="00C50B64">
      <w:pPr>
        <w:spacing w:line="276" w:lineRule="auto"/>
        <w:ind w:firstLine="720"/>
        <w:jc w:val="both"/>
        <w:rPr>
          <w:lang w:val="en-US"/>
        </w:rPr>
      </w:pPr>
    </w:p>
    <w:p w14:paraId="5B5AE31C" w14:textId="77777777" w:rsidR="00CE73E5" w:rsidRPr="00347D76" w:rsidRDefault="00CE73E5" w:rsidP="00C50B64">
      <w:pPr>
        <w:widowControl/>
        <w:tabs>
          <w:tab w:val="left" w:pos="5720"/>
        </w:tabs>
        <w:spacing w:after="120" w:line="276" w:lineRule="auto"/>
        <w:jc w:val="both"/>
        <w:rPr>
          <w:lang w:val="en-US"/>
        </w:rPr>
      </w:pPr>
      <w:r w:rsidRPr="00347D76">
        <w:rPr>
          <w:lang w:val="en-US"/>
        </w:rPr>
        <w:tab/>
      </w:r>
    </w:p>
    <w:p w14:paraId="48C7803D" w14:textId="3940C15E" w:rsidR="00CE73E5" w:rsidRPr="00347D76" w:rsidRDefault="00ED38B9" w:rsidP="00C50B64">
      <w:pPr>
        <w:pStyle w:val="Heading1"/>
        <w:spacing w:after="240" w:line="276" w:lineRule="auto"/>
        <w:jc w:val="both"/>
        <w:rPr>
          <w:rFonts w:ascii="Times New Roman" w:hAnsi="Times New Roman"/>
          <w:sz w:val="28"/>
          <w:szCs w:val="28"/>
          <w:lang w:val="en-US"/>
        </w:rPr>
      </w:pPr>
      <w:r w:rsidRPr="00347D76">
        <w:rPr>
          <w:rFonts w:ascii="Times New Roman" w:hAnsi="Times New Roman"/>
          <w:sz w:val="28"/>
          <w:szCs w:val="28"/>
          <w:lang w:val="en-US"/>
        </w:rPr>
        <w:t>OUTLINE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10"/>
        <w:gridCol w:w="8070"/>
      </w:tblGrid>
      <w:tr w:rsidR="00CE73E5" w:rsidRPr="00347D76" w14:paraId="45DE8B28" w14:textId="77777777" w:rsidTr="00182A08">
        <w:trPr>
          <w:trHeight w:val="487"/>
        </w:trPr>
        <w:tc>
          <w:tcPr>
            <w:tcW w:w="1110" w:type="dxa"/>
            <w:shd w:val="pct10" w:color="auto" w:fill="auto"/>
            <w:vAlign w:val="center"/>
          </w:tcPr>
          <w:p w14:paraId="288F808C" w14:textId="770D0FA7" w:rsidR="00CE73E5" w:rsidRPr="00347D76" w:rsidRDefault="00ED38B9" w:rsidP="00C50B64">
            <w:pPr>
              <w:widowControl/>
              <w:spacing w:line="276" w:lineRule="auto"/>
              <w:jc w:val="both"/>
              <w:rPr>
                <w:b/>
                <w:lang w:val="en-US"/>
              </w:rPr>
            </w:pPr>
            <w:r w:rsidRPr="00347D76">
              <w:rPr>
                <w:b/>
                <w:lang w:val="en-US"/>
              </w:rPr>
              <w:t>PART</w:t>
            </w:r>
          </w:p>
        </w:tc>
        <w:tc>
          <w:tcPr>
            <w:tcW w:w="8070" w:type="dxa"/>
            <w:shd w:val="pct10" w:color="auto" w:fill="auto"/>
            <w:vAlign w:val="center"/>
          </w:tcPr>
          <w:p w14:paraId="24435347" w14:textId="530CB399" w:rsidR="00CE73E5" w:rsidRPr="00347D76" w:rsidRDefault="0008444F" w:rsidP="00C50B64">
            <w:pPr>
              <w:widowControl/>
              <w:spacing w:line="276" w:lineRule="auto"/>
              <w:jc w:val="both"/>
              <w:rPr>
                <w:b/>
                <w:lang w:val="en-US"/>
              </w:rPr>
            </w:pPr>
            <w:r w:rsidRPr="00347D76">
              <w:rPr>
                <w:b/>
                <w:lang w:val="en-US"/>
              </w:rPr>
              <w:t>Topic</w:t>
            </w:r>
          </w:p>
        </w:tc>
      </w:tr>
      <w:tr w:rsidR="00CE73E5" w:rsidRPr="00347D76" w14:paraId="0C507DD4" w14:textId="77777777" w:rsidTr="00182A08">
        <w:tc>
          <w:tcPr>
            <w:tcW w:w="1110" w:type="dxa"/>
            <w:vAlign w:val="center"/>
          </w:tcPr>
          <w:p w14:paraId="058D5880" w14:textId="1B5A1777" w:rsidR="00CE73E5" w:rsidRPr="00347D76" w:rsidRDefault="0008444F" w:rsidP="00C50B64">
            <w:pPr>
              <w:widowControl/>
              <w:spacing w:line="276" w:lineRule="auto"/>
              <w:jc w:val="both"/>
              <w:rPr>
                <w:color w:val="000000" w:themeColor="text1"/>
                <w:lang w:val="en-US"/>
              </w:rPr>
            </w:pPr>
            <w:r w:rsidRPr="00347D76">
              <w:rPr>
                <w:color w:val="000000" w:themeColor="text1"/>
                <w:lang w:val="en-US"/>
              </w:rPr>
              <w:t>A</w:t>
            </w:r>
          </w:p>
        </w:tc>
        <w:tc>
          <w:tcPr>
            <w:tcW w:w="8070" w:type="dxa"/>
            <w:vAlign w:val="center"/>
          </w:tcPr>
          <w:p w14:paraId="1A88C73F" w14:textId="27419E48" w:rsidR="00CE73E5" w:rsidRPr="00347D76" w:rsidRDefault="00460589" w:rsidP="00C50B64">
            <w:pPr>
              <w:spacing w:line="276" w:lineRule="auto"/>
              <w:jc w:val="both"/>
              <w:rPr>
                <w:color w:val="000000" w:themeColor="text1"/>
                <w:lang w:val="en-US"/>
              </w:rPr>
            </w:pPr>
            <w:r w:rsidRPr="00347D76">
              <w:rPr>
                <w:color w:val="000000" w:themeColor="text1"/>
                <w:lang w:val="en-US"/>
              </w:rPr>
              <w:t>Acetylcholinesterase</w:t>
            </w:r>
            <w:r w:rsidR="007F6C9B" w:rsidRPr="00347D76">
              <w:rPr>
                <w:color w:val="000000" w:themeColor="text1"/>
                <w:lang w:val="en-US"/>
              </w:rPr>
              <w:t xml:space="preserve"> (AChE)</w:t>
            </w:r>
            <w:r w:rsidRPr="00347D76">
              <w:rPr>
                <w:color w:val="000000" w:themeColor="text1"/>
                <w:lang w:val="en-US"/>
              </w:rPr>
              <w:t xml:space="preserve"> microplate assay</w:t>
            </w:r>
          </w:p>
        </w:tc>
      </w:tr>
      <w:tr w:rsidR="00CE73E5" w:rsidRPr="00347D76" w14:paraId="0CEF878E" w14:textId="77777777" w:rsidTr="00182A08">
        <w:tc>
          <w:tcPr>
            <w:tcW w:w="1110" w:type="dxa"/>
            <w:vAlign w:val="center"/>
          </w:tcPr>
          <w:p w14:paraId="06F7DB80" w14:textId="663EB92F" w:rsidR="00CE73E5" w:rsidRPr="00347D76" w:rsidRDefault="0008444F" w:rsidP="00C50B64">
            <w:pPr>
              <w:widowControl/>
              <w:spacing w:line="276" w:lineRule="auto"/>
              <w:jc w:val="both"/>
              <w:rPr>
                <w:color w:val="000000" w:themeColor="text1"/>
                <w:lang w:val="en-US"/>
              </w:rPr>
            </w:pPr>
            <w:r w:rsidRPr="00347D76">
              <w:rPr>
                <w:color w:val="000000" w:themeColor="text1"/>
                <w:lang w:val="en-US"/>
              </w:rPr>
              <w:t>B</w:t>
            </w:r>
          </w:p>
        </w:tc>
        <w:tc>
          <w:tcPr>
            <w:tcW w:w="8070" w:type="dxa"/>
            <w:vAlign w:val="center"/>
          </w:tcPr>
          <w:p w14:paraId="6DAC7ACA" w14:textId="13BBA424" w:rsidR="00CE73E5" w:rsidRPr="00347D76" w:rsidRDefault="00497A51" w:rsidP="00C50B64">
            <w:pPr>
              <w:spacing w:line="276" w:lineRule="auto"/>
              <w:jc w:val="both"/>
              <w:rPr>
                <w:color w:val="000000" w:themeColor="text1"/>
                <w:lang w:val="en-US"/>
              </w:rPr>
            </w:pPr>
            <w:r w:rsidRPr="00347D76">
              <w:rPr>
                <w:lang w:val="en-US"/>
              </w:rPr>
              <w:t>Paper-based assays</w:t>
            </w:r>
          </w:p>
        </w:tc>
      </w:tr>
      <w:tr w:rsidR="00CE73E5" w:rsidRPr="00347D76" w14:paraId="6A65C007" w14:textId="77777777" w:rsidTr="00182A08">
        <w:tc>
          <w:tcPr>
            <w:tcW w:w="1110" w:type="dxa"/>
            <w:vAlign w:val="center"/>
          </w:tcPr>
          <w:p w14:paraId="5C3002EA" w14:textId="04EA5718" w:rsidR="00CE73E5" w:rsidRPr="00347D76" w:rsidRDefault="0008444F" w:rsidP="00C50B64">
            <w:pPr>
              <w:widowControl/>
              <w:overflowPunct/>
              <w:autoSpaceDE/>
              <w:autoSpaceDN/>
              <w:adjustRightInd/>
              <w:spacing w:line="276" w:lineRule="auto"/>
              <w:jc w:val="both"/>
              <w:textAlignment w:val="auto"/>
              <w:rPr>
                <w:lang w:val="en-US"/>
              </w:rPr>
            </w:pPr>
            <w:r w:rsidRPr="00347D76">
              <w:rPr>
                <w:lang w:val="en-US"/>
              </w:rPr>
              <w:t>C</w:t>
            </w:r>
          </w:p>
        </w:tc>
        <w:tc>
          <w:tcPr>
            <w:tcW w:w="8070" w:type="dxa"/>
            <w:vAlign w:val="center"/>
          </w:tcPr>
          <w:p w14:paraId="38ECAAEB" w14:textId="4EF9BB5E" w:rsidR="00CE73E5" w:rsidRPr="00347D76" w:rsidRDefault="00497A51" w:rsidP="00C50B64">
            <w:pPr>
              <w:spacing w:line="276" w:lineRule="auto"/>
              <w:jc w:val="both"/>
              <w:rPr>
                <w:lang w:val="en-US"/>
              </w:rPr>
            </w:pPr>
            <w:r w:rsidRPr="00347D76">
              <w:rPr>
                <w:color w:val="000000" w:themeColor="text1"/>
                <w:lang w:val="en-US"/>
              </w:rPr>
              <w:t>Lab-on-a-chip devices: CAD design and 3D-printing</w:t>
            </w:r>
          </w:p>
        </w:tc>
      </w:tr>
      <w:tr w:rsidR="00CE73E5" w:rsidRPr="00347D76" w14:paraId="485E57BF" w14:textId="77777777" w:rsidTr="00182A08">
        <w:tc>
          <w:tcPr>
            <w:tcW w:w="1110" w:type="dxa"/>
            <w:vAlign w:val="center"/>
          </w:tcPr>
          <w:p w14:paraId="5C84B165" w14:textId="22088045" w:rsidR="00CE73E5" w:rsidRPr="00347D76" w:rsidRDefault="0008444F" w:rsidP="00C50B64">
            <w:pPr>
              <w:widowControl/>
              <w:overflowPunct/>
              <w:autoSpaceDE/>
              <w:autoSpaceDN/>
              <w:adjustRightInd/>
              <w:spacing w:line="276" w:lineRule="auto"/>
              <w:jc w:val="both"/>
              <w:textAlignment w:val="auto"/>
              <w:rPr>
                <w:lang w:val="en-US"/>
              </w:rPr>
            </w:pPr>
            <w:r w:rsidRPr="00347D76">
              <w:rPr>
                <w:lang w:val="en-US"/>
              </w:rPr>
              <w:t>D</w:t>
            </w:r>
          </w:p>
        </w:tc>
        <w:tc>
          <w:tcPr>
            <w:tcW w:w="8070" w:type="dxa"/>
            <w:vAlign w:val="center"/>
          </w:tcPr>
          <w:p w14:paraId="69965C43" w14:textId="402DF1C8" w:rsidR="00CE73E5" w:rsidRPr="00347D76" w:rsidRDefault="0008444F" w:rsidP="00C50B64">
            <w:pPr>
              <w:spacing w:line="276" w:lineRule="auto"/>
              <w:jc w:val="both"/>
              <w:rPr>
                <w:lang w:val="en-US"/>
              </w:rPr>
            </w:pPr>
            <w:r w:rsidRPr="00347D76">
              <w:rPr>
                <w:lang w:val="en-US"/>
              </w:rPr>
              <w:t xml:space="preserve">Smartphone-based analysis </w:t>
            </w:r>
          </w:p>
        </w:tc>
      </w:tr>
    </w:tbl>
    <w:p w14:paraId="0414C3E2" w14:textId="77777777" w:rsidR="00CE73E5" w:rsidRPr="00347D76" w:rsidRDefault="00CE73E5" w:rsidP="00C50B64">
      <w:pPr>
        <w:widowControl/>
        <w:overflowPunct/>
        <w:autoSpaceDE/>
        <w:autoSpaceDN/>
        <w:adjustRightInd/>
        <w:spacing w:line="276" w:lineRule="auto"/>
        <w:jc w:val="both"/>
        <w:textAlignment w:val="auto"/>
        <w:rPr>
          <w:b/>
          <w:kern w:val="28"/>
          <w:sz w:val="32"/>
          <w:lang w:val="en-US"/>
        </w:rPr>
      </w:pPr>
    </w:p>
    <w:p w14:paraId="6936CEAD" w14:textId="77777777" w:rsidR="00CE73E5" w:rsidRPr="00347D76" w:rsidRDefault="00CE73E5" w:rsidP="00C50B64">
      <w:pPr>
        <w:widowControl/>
        <w:overflowPunct/>
        <w:autoSpaceDE/>
        <w:autoSpaceDN/>
        <w:adjustRightInd/>
        <w:spacing w:line="276" w:lineRule="auto"/>
        <w:jc w:val="both"/>
        <w:textAlignment w:val="auto"/>
        <w:rPr>
          <w:b/>
          <w:kern w:val="28"/>
          <w:sz w:val="28"/>
          <w:szCs w:val="28"/>
          <w:lang w:val="en-US"/>
        </w:rPr>
      </w:pPr>
      <w:r w:rsidRPr="00347D76">
        <w:rPr>
          <w:sz w:val="28"/>
          <w:szCs w:val="28"/>
          <w:lang w:val="en-US"/>
        </w:rPr>
        <w:br w:type="page"/>
      </w:r>
    </w:p>
    <w:p w14:paraId="5CF3F055" w14:textId="2BDA8D67" w:rsidR="00A21F52" w:rsidRPr="00347D76" w:rsidRDefault="0008444F" w:rsidP="00C50B64">
      <w:pPr>
        <w:pStyle w:val="Heading1"/>
        <w:spacing w:after="240" w:line="276" w:lineRule="auto"/>
        <w:jc w:val="both"/>
        <w:rPr>
          <w:rFonts w:ascii="Times New Roman" w:hAnsi="Times New Roman"/>
          <w:sz w:val="28"/>
          <w:szCs w:val="28"/>
          <w:lang w:val="en-US"/>
        </w:rPr>
      </w:pPr>
      <w:r w:rsidRPr="00347D76">
        <w:rPr>
          <w:rFonts w:ascii="Times New Roman" w:hAnsi="Times New Roman"/>
          <w:sz w:val="28"/>
          <w:szCs w:val="28"/>
          <w:lang w:val="en-US"/>
        </w:rPr>
        <w:t>THEORITICAL PART</w:t>
      </w:r>
    </w:p>
    <w:p w14:paraId="05D21127" w14:textId="045D00A6" w:rsidR="00F53BC7" w:rsidRPr="00347D76" w:rsidRDefault="003518E3" w:rsidP="00C50B64">
      <w:pPr>
        <w:spacing w:line="276" w:lineRule="auto"/>
        <w:ind w:firstLine="360"/>
        <w:jc w:val="both"/>
        <w:rPr>
          <w:lang w:val="en-US"/>
        </w:rPr>
      </w:pPr>
      <w:r w:rsidRPr="00347D76">
        <w:rPr>
          <w:lang w:val="en-US"/>
        </w:rPr>
        <w:t xml:space="preserve">According to Commission Decision 2002/657/EC “screening methods are used to detect the presence of a substance or class of substances at the level of interest”. In this way, there are several methods fit within this concept </w:t>
      </w:r>
      <w:r w:rsidR="0033724E" w:rsidRPr="00347D76">
        <w:rPr>
          <w:lang w:val="en-US"/>
        </w:rPr>
        <w:t>able</w:t>
      </w:r>
      <w:r w:rsidRPr="00347D76">
        <w:rPr>
          <w:lang w:val="en-US"/>
        </w:rPr>
        <w:t xml:space="preserve"> to achieve rapid, selective, cost-efficient and sensitive screening in the food safety field. </w:t>
      </w:r>
      <w:r w:rsidR="00B72952" w:rsidRPr="00347D76">
        <w:rPr>
          <w:lang w:val="en-US"/>
        </w:rPr>
        <w:t>In the following paragraphs, an insight on various methods is provided aiming to discuss state of the art applications and advancements.</w:t>
      </w:r>
    </w:p>
    <w:p w14:paraId="20091DD8" w14:textId="77777777" w:rsidR="00F53BC7" w:rsidRPr="00347D76" w:rsidRDefault="00F53BC7" w:rsidP="00C50B64">
      <w:pPr>
        <w:spacing w:line="276" w:lineRule="auto"/>
        <w:ind w:firstLine="360"/>
        <w:jc w:val="both"/>
        <w:rPr>
          <w:lang w:val="en-US"/>
        </w:rPr>
      </w:pPr>
    </w:p>
    <w:p w14:paraId="09E93924" w14:textId="57FEAC67" w:rsidR="00F53BC7" w:rsidRPr="00347D76" w:rsidRDefault="00F53BC7" w:rsidP="00C50B64">
      <w:pPr>
        <w:pStyle w:val="ListParagraph"/>
        <w:numPr>
          <w:ilvl w:val="0"/>
          <w:numId w:val="31"/>
        </w:numPr>
        <w:spacing w:line="276" w:lineRule="auto"/>
        <w:jc w:val="both"/>
        <w:rPr>
          <w:i/>
          <w:lang w:val="en-US"/>
        </w:rPr>
      </w:pPr>
      <w:r w:rsidRPr="00347D76">
        <w:rPr>
          <w:i/>
          <w:lang w:val="en-US"/>
        </w:rPr>
        <w:t>Classic biochemical assays</w:t>
      </w:r>
    </w:p>
    <w:p w14:paraId="163FAFA3" w14:textId="64603623" w:rsidR="003518E3" w:rsidRPr="00347D76" w:rsidRDefault="003518E3" w:rsidP="00C50B64">
      <w:pPr>
        <w:spacing w:line="276" w:lineRule="auto"/>
        <w:ind w:firstLine="360"/>
        <w:jc w:val="both"/>
        <w:rPr>
          <w:lang w:val="en-US"/>
        </w:rPr>
      </w:pPr>
      <w:r w:rsidRPr="00347D76">
        <w:rPr>
          <w:lang w:val="en-US"/>
        </w:rPr>
        <w:t xml:space="preserve">Firstly, biochemical assays using antibodies or enzymes as recognition elements have been traditionally used in a microplate format, which provides high-throughput, simplicity, good sensitivity and ease of operation. The enzyme linked immunosorbent assay (ELISA) is a striking example of such bioassays. ELISA is based on the specific interaction between an enzyme labelled analyte specific antibody and its antigen. Owing to the labelling of the antibody with an enzyme, upon the addition of a substrate a measurable color change is initiated. A recent review by L. Wu et al. </w:t>
      </w:r>
      <w:r w:rsidRPr="00347D76">
        <w:rPr>
          <w:lang w:val="en-US"/>
        </w:rPr>
        <w:fldChar w:fldCharType="begin" w:fldLock="1"/>
      </w:r>
      <w:r w:rsidR="004B58B3" w:rsidRPr="00347D76">
        <w:rPr>
          <w:lang w:val="en-US"/>
        </w:rPr>
        <w:instrText>ADDIN CSL_CITATION {"citationItems":[{"id":"ITEM-1","itemData":{"DOI":"https://doi.org/10.1016/j.trac.2019.02.002","ISSN":"0165-9936","abstract":"Owing to its advantages such as simplicity, good sensitivity and ease of operation, enzyme-linked immunosorbent assay (ELISA) has been a powerful tool in food safety and verification. However, the relatively low sensitivity and accuracy are the main limitations of traditional ELISA, which have hindered its application in food analysis. Thus, it is of ultra-importance to construct effective strategies to solve the problem. Till now, great progress has been made in boosting the accuracy, sensitivity and stability to improve traditional ELISA. Fortunately, the nanomaterials-based ELISA (nano-ELISA) greatly developed ELISA and behaved superior performance. In this review, recent advances about nano-ELISA are discussed in four basic parts including absorbent substrate, recognition element, enzyme label and chromogenic agent as well as the related application in food analysis, which provides a new train of thought and tactics for other techniques such as biosensors in electrochemistry, optics and magnetism.","author":[{"dropping-particle":"","family":"Wu","given":"Long","non-dropping-particle":"","parse-names":false,"suffix":""},{"dropping-particle":"","family":"Li","given":"Guanghui","non-dropping-particle":"","parse-names":false,"suffix":""},{"dropping-particle":"","family":"Xu","given":"Xin","non-dropping-particle":"","parse-names":false,"suffix":""},{"dropping-particle":"","family":"Zhu","given":"Lin","non-dropping-particle":"","parse-names":false,"suffix":""},{"dropping-particle":"","family":"Huang","given":"Riming","non-dropping-particle":"","parse-names":false,"suffix":""},{"dropping-particle":"","family":"Chen","given":"Xiaoqiang","non-dropping-particle":"","parse-names":false,"suffix":""}],"container-title":"TrAC Trends in Analytical Chemistry","id":"ITEM-1","issued":{"date-parts":[["2019"]]},"page":"140-156","title":"Application of nano-ELISA in food analysis: Recent advances and challenges","type":"article-journal","volume":"113"},"uris":["http://www.mendeley.com/documents/?uuid=bdaab8c1-de89-4b74-8618-30f9d9a6bbfd","http://www.mendeley.com/documents/?uuid=f4b328d9-708c-429e-954f-b9e0d1e9288a"]}],"mendeley":{"formattedCitation":"[1]","plainTextFormattedCitation":"[1]","previouslyFormattedCitation":"[1]"},"properties":{"noteIndex":0},"schema":"https://github.com/citation-style-language/schema/raw/master/csl-citation.json"}</w:instrText>
      </w:r>
      <w:r w:rsidRPr="00347D76">
        <w:rPr>
          <w:lang w:val="en-US"/>
        </w:rPr>
        <w:fldChar w:fldCharType="separate"/>
      </w:r>
      <w:r w:rsidR="004B58B3" w:rsidRPr="00347D76">
        <w:rPr>
          <w:noProof/>
          <w:lang w:val="en-US"/>
        </w:rPr>
        <w:t>[1]</w:t>
      </w:r>
      <w:r w:rsidRPr="00347D76">
        <w:rPr>
          <w:lang w:val="en-US"/>
        </w:rPr>
        <w:fldChar w:fldCharType="end"/>
      </w:r>
      <w:r w:rsidRPr="00347D76">
        <w:rPr>
          <w:lang w:val="en-US"/>
        </w:rPr>
        <w:t xml:space="preserve"> is recommended for a deeper understanding of ELISA mechanism, various types as well as recent advances. In terms of cholinesterase microplate assays, these have been utilized in </w:t>
      </w:r>
      <w:r w:rsidR="00BB3C3F">
        <w:rPr>
          <w:lang w:val="en-US"/>
        </w:rPr>
        <w:t>carbamate (</w:t>
      </w:r>
      <w:r w:rsidRPr="00347D76">
        <w:rPr>
          <w:lang w:val="en-US"/>
        </w:rPr>
        <w:t>CM</w:t>
      </w:r>
      <w:r w:rsidR="00BB3C3F">
        <w:rPr>
          <w:lang w:val="en-US"/>
        </w:rPr>
        <w:t>)</w:t>
      </w:r>
      <w:r w:rsidRPr="00347D76">
        <w:rPr>
          <w:lang w:val="en-US"/>
        </w:rPr>
        <w:t xml:space="preserve"> and </w:t>
      </w:r>
      <w:r w:rsidR="00BB3C3F">
        <w:rPr>
          <w:lang w:val="en-US"/>
        </w:rPr>
        <w:t>organophosphate (</w:t>
      </w:r>
      <w:r w:rsidRPr="00347D76">
        <w:rPr>
          <w:lang w:val="en-US"/>
        </w:rPr>
        <w:t>OP</w:t>
      </w:r>
      <w:r w:rsidR="00BB3C3F">
        <w:rPr>
          <w:lang w:val="en-US"/>
        </w:rPr>
        <w:t>)</w:t>
      </w:r>
      <w:r w:rsidRPr="00347D76">
        <w:rPr>
          <w:lang w:val="en-US"/>
        </w:rPr>
        <w:t xml:space="preserve"> screening as these pesticide classes inhibit cholinesterase activity. Considering that, in vitro, cholinesterases hydrolase colorless substrates to colored products, the presence of CMs and OPs can be correlated to a color decrease similarly to competitive ELISAs. A great variety of substrates</w:t>
      </w:r>
      <w:r w:rsidR="00C50B64">
        <w:rPr>
          <w:lang w:val="en-US"/>
        </w:rPr>
        <w:t xml:space="preserve"> (Fig. </w:t>
      </w:r>
      <w:bookmarkStart w:id="2" w:name="_GoBack"/>
      <w:bookmarkEnd w:id="2"/>
      <w:r w:rsidR="00C50B64">
        <w:rPr>
          <w:lang w:val="en-US"/>
        </w:rPr>
        <w:t>1)</w:t>
      </w:r>
      <w:r w:rsidRPr="00347D76">
        <w:rPr>
          <w:lang w:val="en-US"/>
        </w:rPr>
        <w:t xml:space="preserve">, resulting in different colored products, have been used including acetylthiocholine and </w:t>
      </w:r>
      <w:proofErr w:type="spellStart"/>
      <w:r w:rsidRPr="00347D76">
        <w:rPr>
          <w:lang w:val="en-US"/>
        </w:rPr>
        <w:t>butyrylthiocholine</w:t>
      </w:r>
      <w:proofErr w:type="spellEnd"/>
      <w:r w:rsidRPr="00347D76">
        <w:rPr>
          <w:lang w:val="en-US"/>
        </w:rPr>
        <w:t xml:space="preserve"> halides, for AChE and BChE respectively, indoxyl acetate, α-naphthyl acetate, 2,6-dichloroindophenol acetate and others </w:t>
      </w:r>
      <w:r w:rsidRPr="00347D76">
        <w:rPr>
          <w:lang w:val="en-US"/>
        </w:rPr>
        <w:fldChar w:fldCharType="begin" w:fldLock="1"/>
      </w:r>
      <w:r w:rsidR="00826B70" w:rsidRPr="00347D76">
        <w:rPr>
          <w:lang w:val="en-US"/>
        </w:rPr>
        <w:instrText>ADDIN CSL_CITATION {"citationItems":[{"id":"ITEM-1","itemData":{"ISBN":"8072316583","author":[{"dropping-particle":"","family":"Halámek","given":"Emil","non-dropping-particle":"","parse-names":false,"suffix":""},{"dropping-particle":"","family":"Kobliha","given":"Zbyněk","non-dropping-particle":"","parse-names":false,"suffix":""},{"dropping-particle":"","family":"Pitschmann","given":"Vladimír","non-dropping-particle":"","parse-names":false,"suffix":""}],"id":"ITEM-1","issued":{"date-parts":[["2009"]]},"publisher":"Univerzita obrany","title":"Analysis of chemical warfare agents","type":"book"},"uris":["http://www.mendeley.com/documents/?uuid=fb22ab01-cc02-4888-b475-3da20d6702c6"]}],"mendeley":{"formattedCitation":"[2]","plainTextFormattedCitation":"[2]","previouslyFormattedCitation":"[2]"},"properties":{"noteIndex":0},"schema":"https://github.com/citation-style-language/schema/raw/master/csl-citation.json"}</w:instrText>
      </w:r>
      <w:r w:rsidRPr="00347D76">
        <w:rPr>
          <w:lang w:val="en-US"/>
        </w:rPr>
        <w:fldChar w:fldCharType="separate"/>
      </w:r>
      <w:r w:rsidR="00202F2F" w:rsidRPr="00347D76">
        <w:rPr>
          <w:noProof/>
          <w:lang w:val="en-US"/>
        </w:rPr>
        <w:t>[2]</w:t>
      </w:r>
      <w:r w:rsidRPr="00347D76">
        <w:rPr>
          <w:lang w:val="en-US"/>
        </w:rPr>
        <w:fldChar w:fldCharType="end"/>
      </w:r>
      <w:r w:rsidRPr="00347D76">
        <w:rPr>
          <w:lang w:val="en-US"/>
        </w:rPr>
        <w:t xml:space="preserve">. Importantly, reduced sample and reagent consumption (typically less than 100 </w:t>
      </w:r>
      <w:proofErr w:type="spellStart"/>
      <w:r w:rsidRPr="00347D76">
        <w:rPr>
          <w:lang w:val="en-US"/>
        </w:rPr>
        <w:t>μL</w:t>
      </w:r>
      <w:proofErr w:type="spellEnd"/>
      <w:r w:rsidRPr="00347D76">
        <w:rPr>
          <w:lang w:val="en-US"/>
        </w:rPr>
        <w:t xml:space="preserve">) as well as low LODs at the part per billion level </w:t>
      </w:r>
      <w:r w:rsidRPr="00347D76">
        <w:rPr>
          <w:lang w:val="en-US"/>
        </w:rPr>
        <w:fldChar w:fldCharType="begin" w:fldLock="1"/>
      </w:r>
      <w:r w:rsidR="00826B70" w:rsidRPr="00347D76">
        <w:rPr>
          <w:lang w:val="en-US"/>
        </w:rPr>
        <w:instrText>ADDIN CSL_CITATION {"citationItems":[{"id":"ITEM-1","itemData":{"DOI":"10.1002/jsfa.8755","author":[{"dropping-particle":"","family":"Yang","given":"X","non-dropping-particle":"","parse-names":false,"suffix":""},{"dropping-particle":"","family":"Dai","given":"J","non-dropping-particle":"","parse-names":false,"suffix":""},{"dropping-particle":"","family":"Yang","given":"L","non-dropping-particle":"","parse-names":false,"suffix":""},{"dropping-particle":"","family":"Ma","given":"M","non-dropping-particle":"","parse-names":false,"suffix":""},{"dropping-particle":"","family":"Zhao","given":"S.-J.","non-dropping-particle":"","parse-names":false,"suffix":""},{"dropping-particle":"","family":"Chen","given":"X.-G.","non-dropping-particle":"","parse-names":false,"suffix":""},{"dropping-particle":"","family":"Xiao","given":"H","non-dropping-particle":"","parse-names":false,"suffix":""}],"container-title":"Journal of the Science of Food and Agriculture","id":"ITEM-1","issue":"7","issued":{"date-parts":[["2018"]]},"note":"Cited By :3\n\nExport Date: 10 July 2019","page":"2624-2631","title":"Oxidation pretreatment by calcium hypochlorite to improve the sensitivity of enzyme inhibition-based detection of organophosphorus pesticides","type":"article-journal","volume":"98"},"uris":["http://www.mendeley.com/documents/?uuid=80777a10-98ad-4756-bdb5-6f3ce7eb413f"]},{"id":"ITEM-2","itemData":{"DOI":"10.3906/kim-0903-7","author":[{"dropping-particle":"","family":"Pohanka","given":"M","non-dropping-particle":"","parse-names":false,"suffix":""},{"dropping-particle":"","family":"Zdarova Karasova","given":"J","non-dropping-particle":"","parse-names":false,"suffix":""},{"dropping-particle":"","family":"Kuca","given":"K","non-dropping-particle":"","parse-names":false,"suffix":""},{"dropping-particle":"","family":"Pikula","given":"J","non-dropping-particle":"","parse-names":false,"suffix":""}],"container-title":"Turkish Journal of Chemistry","id":"ITEM-2","issue":"1","issued":{"date-parts":[["2010"]]},"note":"Cited By :2\n\nExport Date: 10 July 2019","page":"91-98","title":"Multichannel spectrophotometry for analysis of organophosphate paraoxon in beverages","type":"article-journal","volume":"34"},"uris":["http://www.mendeley.com/documents/?uuid=3cb2fba3-7f1c-47a0-b576-e57dc4c0d5f7"]}],"mendeley":{"formattedCitation":"[3,4]","plainTextFormattedCitation":"[3,4]","previouslyFormattedCitation":"[3,4]"},"properties":{"noteIndex":0},"schema":"https://github.com/citation-style-language/schema/raw/master/csl-citation.json"}</w:instrText>
      </w:r>
      <w:r w:rsidRPr="00347D76">
        <w:rPr>
          <w:lang w:val="en-US"/>
        </w:rPr>
        <w:fldChar w:fldCharType="separate"/>
      </w:r>
      <w:r w:rsidR="00202F2F" w:rsidRPr="00347D76">
        <w:rPr>
          <w:noProof/>
          <w:lang w:val="en-US"/>
        </w:rPr>
        <w:t>[3,4]</w:t>
      </w:r>
      <w:r w:rsidRPr="00347D76">
        <w:rPr>
          <w:lang w:val="en-US"/>
        </w:rPr>
        <w:fldChar w:fldCharType="end"/>
      </w:r>
      <w:r w:rsidRPr="00347D76">
        <w:rPr>
          <w:lang w:val="en-US"/>
        </w:rPr>
        <w:t>, depending on the matrix, were achieved by cholinesterase microplate assays.</w:t>
      </w:r>
    </w:p>
    <w:p w14:paraId="76661A8B" w14:textId="77777777" w:rsidR="00747C4C" w:rsidRPr="00347D76" w:rsidRDefault="00747C4C" w:rsidP="00C50B64">
      <w:pPr>
        <w:spacing w:line="276" w:lineRule="auto"/>
        <w:ind w:firstLine="360"/>
        <w:jc w:val="both"/>
        <w:rPr>
          <w:lang w:val="en-US"/>
        </w:rPr>
      </w:pPr>
    </w:p>
    <w:p w14:paraId="69806A30" w14:textId="77777777" w:rsidR="003518E3" w:rsidRPr="00347D76" w:rsidRDefault="003518E3" w:rsidP="00C50B64">
      <w:pPr>
        <w:keepNext/>
        <w:spacing w:line="276" w:lineRule="auto"/>
        <w:ind w:firstLine="360"/>
        <w:jc w:val="center"/>
        <w:rPr>
          <w:lang w:val="en-US"/>
        </w:rPr>
      </w:pPr>
      <w:r w:rsidRPr="00347D76">
        <w:rPr>
          <w:noProof/>
          <w:lang w:val="en-US"/>
        </w:rPr>
        <w:drawing>
          <wp:inline distT="0" distB="0" distL="0" distR="0" wp14:anchorId="2A764E8B" wp14:editId="6EE64A27">
            <wp:extent cx="4088519" cy="2769597"/>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n vivo and in vitro AChE reaction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04253" cy="2780255"/>
                    </a:xfrm>
                    <a:prstGeom prst="rect">
                      <a:avLst/>
                    </a:prstGeom>
                  </pic:spPr>
                </pic:pic>
              </a:graphicData>
            </a:graphic>
          </wp:inline>
        </w:drawing>
      </w:r>
    </w:p>
    <w:p w14:paraId="1B3CB8BB" w14:textId="6608B6F2" w:rsidR="003518E3" w:rsidRPr="00347D76" w:rsidRDefault="003518E3" w:rsidP="00C50B64">
      <w:pPr>
        <w:pStyle w:val="MDPI31text"/>
        <w:spacing w:line="276" w:lineRule="auto"/>
        <w:ind w:firstLine="0"/>
        <w:rPr>
          <w:rFonts w:ascii="Times New Roman" w:hAnsi="Times New Roman"/>
          <w:bCs/>
          <w:snapToGrid/>
          <w:color w:val="auto"/>
          <w:sz w:val="24"/>
          <w:szCs w:val="20"/>
          <w:lang w:eastAsia="cs-CZ" w:bidi="ar-SA"/>
        </w:rPr>
      </w:pPr>
      <w:r w:rsidRPr="00347D76">
        <w:rPr>
          <w:rFonts w:ascii="Times New Roman" w:hAnsi="Times New Roman"/>
          <w:b/>
          <w:bCs/>
          <w:snapToGrid/>
          <w:color w:val="auto"/>
          <w:sz w:val="24"/>
          <w:szCs w:val="20"/>
          <w:lang w:eastAsia="cs-CZ" w:bidi="ar-SA"/>
        </w:rPr>
        <w:t>Fig</w:t>
      </w:r>
      <w:r w:rsidR="004B58B3" w:rsidRPr="00347D76">
        <w:rPr>
          <w:rFonts w:ascii="Times New Roman" w:hAnsi="Times New Roman"/>
          <w:b/>
          <w:bCs/>
          <w:snapToGrid/>
          <w:color w:val="auto"/>
          <w:sz w:val="24"/>
          <w:szCs w:val="20"/>
          <w:lang w:eastAsia="cs-CZ" w:bidi="ar-SA"/>
        </w:rPr>
        <w:t xml:space="preserve">. </w:t>
      </w:r>
      <w:r w:rsidRPr="00347D76">
        <w:rPr>
          <w:rFonts w:ascii="Times New Roman" w:hAnsi="Times New Roman"/>
          <w:b/>
          <w:bCs/>
          <w:snapToGrid/>
          <w:color w:val="auto"/>
          <w:sz w:val="24"/>
          <w:szCs w:val="20"/>
          <w:lang w:eastAsia="cs-CZ" w:bidi="ar-SA"/>
        </w:rPr>
        <w:fldChar w:fldCharType="begin"/>
      </w:r>
      <w:r w:rsidRPr="00347D76">
        <w:rPr>
          <w:rFonts w:ascii="Times New Roman" w:hAnsi="Times New Roman"/>
          <w:b/>
          <w:bCs/>
          <w:snapToGrid/>
          <w:color w:val="auto"/>
          <w:sz w:val="24"/>
          <w:szCs w:val="20"/>
          <w:lang w:eastAsia="cs-CZ" w:bidi="ar-SA"/>
        </w:rPr>
        <w:instrText xml:space="preserve"> SEQ Figure \* ARABIC </w:instrText>
      </w:r>
      <w:r w:rsidRPr="00347D76">
        <w:rPr>
          <w:rFonts w:ascii="Times New Roman" w:hAnsi="Times New Roman"/>
          <w:b/>
          <w:bCs/>
          <w:snapToGrid/>
          <w:color w:val="auto"/>
          <w:sz w:val="24"/>
          <w:szCs w:val="20"/>
          <w:lang w:eastAsia="cs-CZ" w:bidi="ar-SA"/>
        </w:rPr>
        <w:fldChar w:fldCharType="separate"/>
      </w:r>
      <w:r w:rsidR="00222263" w:rsidRPr="00347D76">
        <w:rPr>
          <w:rFonts w:ascii="Times New Roman" w:hAnsi="Times New Roman"/>
          <w:b/>
          <w:bCs/>
          <w:noProof/>
          <w:snapToGrid/>
          <w:color w:val="auto"/>
          <w:sz w:val="24"/>
          <w:szCs w:val="20"/>
          <w:lang w:eastAsia="cs-CZ" w:bidi="ar-SA"/>
        </w:rPr>
        <w:t>1</w:t>
      </w:r>
      <w:r w:rsidRPr="00347D76">
        <w:rPr>
          <w:rFonts w:ascii="Times New Roman" w:hAnsi="Times New Roman"/>
          <w:b/>
          <w:bCs/>
          <w:snapToGrid/>
          <w:color w:val="auto"/>
          <w:sz w:val="24"/>
          <w:szCs w:val="20"/>
          <w:lang w:eastAsia="cs-CZ" w:bidi="ar-SA"/>
        </w:rPr>
        <w:fldChar w:fldCharType="end"/>
      </w:r>
      <w:r w:rsidR="004B58B3" w:rsidRPr="00347D76">
        <w:rPr>
          <w:rFonts w:ascii="Times New Roman" w:hAnsi="Times New Roman"/>
          <w:bCs/>
          <w:snapToGrid/>
          <w:color w:val="auto"/>
          <w:sz w:val="24"/>
          <w:szCs w:val="20"/>
          <w:lang w:eastAsia="cs-CZ" w:bidi="ar-SA"/>
        </w:rPr>
        <w:t xml:space="preserve"> </w:t>
      </w:r>
      <w:r w:rsidRPr="00347D76">
        <w:rPr>
          <w:rFonts w:ascii="Times New Roman" w:hAnsi="Times New Roman"/>
          <w:bCs/>
          <w:snapToGrid/>
          <w:color w:val="auto"/>
          <w:sz w:val="24"/>
          <w:szCs w:val="20"/>
          <w:lang w:eastAsia="cs-CZ" w:bidi="ar-SA"/>
        </w:rPr>
        <w:t xml:space="preserve">(a) In vivo, the neurotransmitter acetylcholine is hydrolyzed to choline and acetic acid by AChE; (b) In vitro hydrolysis of various substrates </w:t>
      </w:r>
      <w:r w:rsidR="00C12556" w:rsidRPr="00347D76">
        <w:rPr>
          <w:rFonts w:ascii="Times New Roman" w:hAnsi="Times New Roman"/>
          <w:bCs/>
          <w:snapToGrid/>
          <w:color w:val="auto"/>
          <w:sz w:val="24"/>
          <w:szCs w:val="20"/>
          <w:lang w:eastAsia="cs-CZ" w:bidi="ar-SA"/>
        </w:rPr>
        <w:t>(acetylthiocholine</w:t>
      </w:r>
      <w:r w:rsidRPr="00347D76">
        <w:rPr>
          <w:rFonts w:ascii="Times New Roman" w:hAnsi="Times New Roman"/>
          <w:bCs/>
          <w:snapToGrid/>
          <w:color w:val="auto"/>
          <w:sz w:val="24"/>
          <w:szCs w:val="20"/>
          <w:lang w:eastAsia="cs-CZ" w:bidi="ar-SA"/>
        </w:rPr>
        <w:t xml:space="preserve"> iodide (</w:t>
      </w:r>
      <w:proofErr w:type="spellStart"/>
      <w:r w:rsidRPr="00347D76">
        <w:rPr>
          <w:rFonts w:ascii="Times New Roman" w:hAnsi="Times New Roman"/>
          <w:bCs/>
          <w:snapToGrid/>
          <w:color w:val="auto"/>
          <w:sz w:val="24"/>
          <w:szCs w:val="20"/>
          <w:lang w:eastAsia="cs-CZ" w:bidi="ar-SA"/>
        </w:rPr>
        <w:t>AThI</w:t>
      </w:r>
      <w:proofErr w:type="spellEnd"/>
      <w:r w:rsidRPr="00347D76">
        <w:rPr>
          <w:rFonts w:ascii="Times New Roman" w:hAnsi="Times New Roman"/>
          <w:bCs/>
          <w:snapToGrid/>
          <w:color w:val="auto"/>
          <w:sz w:val="24"/>
          <w:szCs w:val="20"/>
          <w:lang w:eastAsia="cs-CZ" w:bidi="ar-SA"/>
        </w:rPr>
        <w:t>, Ellman’s assay substrate), indoxyl acetate (IDA) and α-naphthyl acetate (α-</w:t>
      </w:r>
      <w:proofErr w:type="spellStart"/>
      <w:r w:rsidRPr="00347D76">
        <w:rPr>
          <w:rFonts w:ascii="Times New Roman" w:hAnsi="Times New Roman"/>
          <w:bCs/>
          <w:snapToGrid/>
          <w:color w:val="auto"/>
          <w:sz w:val="24"/>
          <w:szCs w:val="20"/>
          <w:lang w:eastAsia="cs-CZ" w:bidi="ar-SA"/>
        </w:rPr>
        <w:t>NAc</w:t>
      </w:r>
      <w:proofErr w:type="spellEnd"/>
      <w:r w:rsidRPr="00347D76">
        <w:rPr>
          <w:rFonts w:ascii="Times New Roman" w:hAnsi="Times New Roman"/>
          <w:bCs/>
          <w:snapToGrid/>
          <w:color w:val="auto"/>
          <w:sz w:val="24"/>
          <w:szCs w:val="20"/>
          <w:lang w:eastAsia="cs-CZ" w:bidi="ar-SA"/>
        </w:rPr>
        <w:t>)) by AChE producing different colored products.</w:t>
      </w:r>
      <w:r w:rsidR="00572BF2" w:rsidRPr="00347D76">
        <w:rPr>
          <w:rFonts w:ascii="Times New Roman" w:hAnsi="Times New Roman"/>
          <w:bCs/>
          <w:snapToGrid/>
          <w:color w:val="auto"/>
          <w:sz w:val="24"/>
          <w:szCs w:val="20"/>
          <w:lang w:eastAsia="cs-CZ" w:bidi="ar-SA"/>
        </w:rPr>
        <w:t xml:space="preserve"> Reproduced under CC BY 4.0 from </w:t>
      </w:r>
      <w:hyperlink r:id="rId13" w:history="1">
        <w:r w:rsidR="00572BF2" w:rsidRPr="00347D76">
          <w:rPr>
            <w:rStyle w:val="Hyperlink"/>
            <w:rFonts w:ascii="Times New Roman" w:hAnsi="Times New Roman"/>
            <w:bCs/>
            <w:snapToGrid/>
            <w:sz w:val="24"/>
            <w:szCs w:val="20"/>
            <w:lang w:eastAsia="cs-CZ" w:bidi="ar-SA"/>
          </w:rPr>
          <w:t>https://www.mdpi.com/2076-3417/10/2/565</w:t>
        </w:r>
      </w:hyperlink>
      <w:r w:rsidR="00572BF2" w:rsidRPr="00347D76">
        <w:rPr>
          <w:rFonts w:ascii="Times New Roman" w:hAnsi="Times New Roman"/>
          <w:bCs/>
          <w:snapToGrid/>
          <w:color w:val="auto"/>
          <w:sz w:val="24"/>
          <w:szCs w:val="20"/>
          <w:lang w:eastAsia="cs-CZ" w:bidi="ar-SA"/>
        </w:rPr>
        <w:t xml:space="preserve">. </w:t>
      </w:r>
    </w:p>
    <w:p w14:paraId="283097D6" w14:textId="77777777" w:rsidR="00B72952" w:rsidRPr="00347D76" w:rsidRDefault="00B72952" w:rsidP="00C50B64">
      <w:pPr>
        <w:pStyle w:val="MDPI31text"/>
        <w:spacing w:line="276" w:lineRule="auto"/>
        <w:ind w:firstLine="0"/>
        <w:rPr>
          <w:rFonts w:ascii="Times New Roman" w:hAnsi="Times New Roman"/>
          <w:bCs/>
          <w:snapToGrid/>
          <w:color w:val="auto"/>
          <w:sz w:val="24"/>
          <w:szCs w:val="20"/>
          <w:lang w:eastAsia="cs-CZ" w:bidi="ar-SA"/>
        </w:rPr>
      </w:pPr>
    </w:p>
    <w:p w14:paraId="6798AC52" w14:textId="4279A785" w:rsidR="00747C4C" w:rsidRPr="00347D76" w:rsidRDefault="00747C4C" w:rsidP="00C50B64">
      <w:pPr>
        <w:pStyle w:val="ListParagraph"/>
        <w:numPr>
          <w:ilvl w:val="0"/>
          <w:numId w:val="31"/>
        </w:numPr>
        <w:spacing w:line="276" w:lineRule="auto"/>
        <w:jc w:val="both"/>
        <w:rPr>
          <w:i/>
          <w:lang w:val="en-US"/>
        </w:rPr>
      </w:pPr>
      <w:r w:rsidRPr="00347D76">
        <w:rPr>
          <w:i/>
          <w:lang w:val="en-US"/>
        </w:rPr>
        <w:t>Point-of-care diagnostics in food analysis</w:t>
      </w:r>
    </w:p>
    <w:p w14:paraId="2325C105" w14:textId="345F8D28" w:rsidR="0008444F" w:rsidRPr="00347D76" w:rsidRDefault="003518E3" w:rsidP="00C50B64">
      <w:pPr>
        <w:spacing w:line="276" w:lineRule="auto"/>
        <w:ind w:firstLine="360"/>
        <w:jc w:val="both"/>
        <w:rPr>
          <w:bCs/>
          <w:lang w:val="en-US"/>
        </w:rPr>
      </w:pPr>
      <w:r w:rsidRPr="00347D76">
        <w:rPr>
          <w:bCs/>
          <w:lang w:val="en-US"/>
        </w:rPr>
        <w:t>Besides classic biochemical assays, p</w:t>
      </w:r>
      <w:r w:rsidR="0008444F" w:rsidRPr="00347D76">
        <w:rPr>
          <w:bCs/>
          <w:lang w:val="en-US"/>
        </w:rPr>
        <w:t>ortable and miniaturized analysis has drawn an ever-increased attention as it is related to unprecedented attractive features such simplicity, rapidness or cost-efficiency. Such methods can be clustered under the term point-of-care (POC) diagnostics including, but not limited to, lateral flow (LF) and dipstick assays, microfluidic paper-based analytical devices (</w:t>
      </w:r>
      <w:proofErr w:type="spellStart"/>
      <w:r w:rsidR="0008444F" w:rsidRPr="00347D76">
        <w:rPr>
          <w:bCs/>
          <w:lang w:val="en-US"/>
        </w:rPr>
        <w:t>μPAD</w:t>
      </w:r>
      <w:proofErr w:type="spellEnd"/>
      <w:r w:rsidR="0008444F" w:rsidRPr="00347D76">
        <w:rPr>
          <w:bCs/>
          <w:lang w:val="en-US"/>
        </w:rPr>
        <w:t xml:space="preserve">) or lab-on-a-chip (LOC) prototypes. Initially inspired by needs related to the medical field, e.g.  testing at remote places or low-cost diagnostics for developing countries, medical POC diagnostics have been developed based on the “ASSURED” principles. This stands for Affordable, Sensitive, Specific, User-friendly, Rapid and robust, Equipment-free and Deliverable to end-users </w:t>
      </w:r>
      <w:r w:rsidR="0008444F" w:rsidRPr="00347D76">
        <w:rPr>
          <w:bCs/>
          <w:lang w:val="en-US"/>
        </w:rPr>
        <w:fldChar w:fldCharType="begin" w:fldLock="1"/>
      </w:r>
      <w:r w:rsidR="00826B70" w:rsidRPr="00347D76">
        <w:rPr>
          <w:bCs/>
          <w:lang w:val="en-US"/>
        </w:rPr>
        <w:instrText>ADDIN CSL_CITATION {"citationItems":[{"id":"ITEM-1","itemData":{"ISSN":"1748-0132","author":[{"dropping-particle":"","family":"Soh","given":"Jun Hui","non-dropping-particle":"","parse-names":false,"suffix":""},{"dropping-particle":"","family":"Chan","given":"Hsi-Min","non-dropping-particle":"","parse-names":false,"suffix":""},{"dropping-particle":"","family":"Ying","given":"Jackie Y","non-dropping-particle":"","parse-names":false,"suffix":""}],"container-title":"Nano Today","id":"ITEM-1","issued":{"date-parts":[["2020"]]},"page":"100831","publisher":"Elsevier","title":"Strategies for developing sensitive and specific nanoparticle-based lateral flow assays as point-of-care diagnostic device","type":"article-journal"},"uris":["http://www.mendeley.com/documents/?uuid=b652acb3-528d-4d6c-a893-2a076ba76001"]}],"mendeley":{"formattedCitation":"[5]","plainTextFormattedCitation":"[5]","previouslyFormattedCitation":"[5]"},"properties":{"noteIndex":0},"schema":"https://github.com/citation-style-language/schema/raw/master/csl-citation.json"}</w:instrText>
      </w:r>
      <w:r w:rsidR="0008444F" w:rsidRPr="00347D76">
        <w:rPr>
          <w:bCs/>
          <w:lang w:val="en-US"/>
        </w:rPr>
        <w:fldChar w:fldCharType="separate"/>
      </w:r>
      <w:r w:rsidR="00202F2F" w:rsidRPr="00347D76">
        <w:rPr>
          <w:bCs/>
          <w:noProof/>
          <w:lang w:val="en-US"/>
        </w:rPr>
        <w:t>[5]</w:t>
      </w:r>
      <w:r w:rsidR="0008444F" w:rsidRPr="00347D76">
        <w:rPr>
          <w:bCs/>
          <w:lang w:val="en-US"/>
        </w:rPr>
        <w:fldChar w:fldCharType="end"/>
      </w:r>
      <w:r w:rsidR="0008444F" w:rsidRPr="00347D76">
        <w:rPr>
          <w:bCs/>
          <w:lang w:val="en-US"/>
        </w:rPr>
        <w:t xml:space="preserve">. Reasonably, this breakthrough in medical analysis initiated research effort to implement the POC concept in the food </w:t>
      </w:r>
      <w:r w:rsidR="0008444F" w:rsidRPr="00347D76">
        <w:rPr>
          <w:bCs/>
          <w:lang w:val="en-US"/>
        </w:rPr>
        <w:fldChar w:fldCharType="begin" w:fldLock="1"/>
      </w:r>
      <w:r w:rsidR="00826B70" w:rsidRPr="00347D76">
        <w:rPr>
          <w:bCs/>
          <w:lang w:val="en-US"/>
        </w:rPr>
        <w:instrText>ADDIN CSL_CITATION {"citationItems":[{"id":"ITEM-1","itemData":{"DOI":"10.1016/j.tibtech.2016.12.005","author":[{"dropping-particle":"","family":"Wu","given":"M.Y.-C.","non-dropping-particle":"","parse-names":false,"suffix":""},{"dropping-particle":"","family":"Hsu","given":"M.-Y.","non-dropping-particle":"","parse-names":false,"suffix":""},{"dropping-particle":"","family":"Chen","given":"S.-J.","non-dropping-particle":"","parse-names":false,"suffix":""},{"dropping-particle":"","family":"Hwang","given":"D.-K.","non-dropping-particle":"","parse-names":false,"suffix":""},{"dropping-particle":"","family":"Yen","given":"T.-H.","non-dropping-particle":"","parse-names":false,"suffix":""},{"dropping-particle":"","family":"Cheng","given":"C.-M.","non-dropping-particle":"","parse-names":false,"suffix":""}],"container-title":"Trends in Biotechnology","id":"ITEM-1","issue":"4","issued":{"date-parts":[["2017"]]},"note":"Cited By :4\n\nExport Date: 19 April 2018","page":"288-300","title":"Point-of-Care Detection Devices for Food Safety Monitoring: Proactive Disease Prevention","type":"article-journal","volume":"35"},"uris":["http://www.mendeley.com/documents/?uuid=4a082dda-0b07-4686-857e-715ee918205c"]}],"mendeley":{"formattedCitation":"[6]","plainTextFormattedCitation":"[6]","previouslyFormattedCitation":"[6]"},"properties":{"noteIndex":0},"schema":"https://github.com/citation-style-language/schema/raw/master/csl-citation.json"}</w:instrText>
      </w:r>
      <w:r w:rsidR="0008444F" w:rsidRPr="00347D76">
        <w:rPr>
          <w:bCs/>
          <w:lang w:val="en-US"/>
        </w:rPr>
        <w:fldChar w:fldCharType="separate"/>
      </w:r>
      <w:r w:rsidR="00202F2F" w:rsidRPr="00347D76">
        <w:rPr>
          <w:bCs/>
          <w:noProof/>
          <w:lang w:val="en-US"/>
        </w:rPr>
        <w:t>[6]</w:t>
      </w:r>
      <w:r w:rsidR="0008444F" w:rsidRPr="00347D76">
        <w:rPr>
          <w:bCs/>
          <w:lang w:val="en-US"/>
        </w:rPr>
        <w:fldChar w:fldCharType="end"/>
      </w:r>
      <w:r w:rsidR="0008444F" w:rsidRPr="00347D76">
        <w:rPr>
          <w:bCs/>
          <w:lang w:val="en-US"/>
        </w:rPr>
        <w:t xml:space="preserve"> and water </w:t>
      </w:r>
      <w:r w:rsidR="0008444F" w:rsidRPr="00347D76">
        <w:rPr>
          <w:bCs/>
          <w:lang w:val="en-US"/>
        </w:rPr>
        <w:fldChar w:fldCharType="begin" w:fldLock="1"/>
      </w:r>
      <w:r w:rsidR="00826B70" w:rsidRPr="00347D76">
        <w:rPr>
          <w:bCs/>
          <w:lang w:val="en-US"/>
        </w:rPr>
        <w:instrText>ADDIN CSL_CITATION {"citationItems":[{"id":"ITEM-1","itemData":{"DOI":"10.3390/s19204476","ISBN":"1424-8220","abstract":"Waterborne diseases that originated due to pathogen microorganisms are emerging as a serious global health concern. Therefore, rapid, accurate, and specific detection of these microorganisms (i.e., bacteria, viruses, protozoa, and parasitic pathogens) in water resources has become a requirement of water quality assessment. Significant research has been conducted to develop rapid, efficient, scalable, and affordable sensing techniques to detect biological contaminants. State-of-the-art technology-assisted smart sensors have improved features (high sensitivity and very low detection limit) and can perform in a real-time manner. However, there is still a need to promote this area of research, keeping global aspects and demand in mind. Keeping this view, this article was designed carefully and critically to explore sensing technologies developed for the detection of biological contaminants. Advancements using paper-based assays, microfluidic platforms, and lateral flow devices are discussed in this report. The emerging recent trends, mainly point-of-care (POC) technologies, of water safety analysis are also discussed here, along with challenges and future prospective applications of these smart sensing technologies for water health diagnostics.","author":[{"dropping-particle":"","family":"Kumar","given":"Sandeep","non-dropping-particle":"","parse-names":false,"suffix":""},{"dropping-particle":"","family":"Nehra","given":"Monika","non-dropping-particle":"","parse-names":false,"suffix":""},{"dropping-particle":"","family":"Mehta","given":"Jyotsana","non-dropping-particle":"","parse-names":false,"suffix":""},{"dropping-particle":"","family":"Dilbaghi","given":"Neeraj","non-dropping-particle":"","parse-names":false,"suffix":""},{"dropping-particle":"","family":"Marrazza","given":"Giovanna","non-dropping-particle":"","parse-names":false,"suffix":""},{"dropping-particle":"","family":"Kaushik","given":"Ajeet","non-dropping-particle":"","parse-names":false,"suffix":""}],"container-title":"Sensors ","id":"ITEM-1","issue":"20","issued":{"date-parts":[["2019"]]},"title":"Point-of-Care Strategies for Detection of Waterborne Pathogens","type":"article","volume":"19"},"uris":["http://www.mendeley.com/documents/?uuid=6a3a1fe4-34c9-4628-ac58-55390dbca6ea"]}],"mendeley":{"formattedCitation":"[7]","plainTextFormattedCitation":"[7]","previouslyFormattedCitation":"[7]"},"properties":{"noteIndex":0},"schema":"https://github.com/citation-style-language/schema/raw/master/csl-citation.json"}</w:instrText>
      </w:r>
      <w:r w:rsidR="0008444F" w:rsidRPr="00347D76">
        <w:rPr>
          <w:bCs/>
          <w:lang w:val="en-US"/>
        </w:rPr>
        <w:fldChar w:fldCharType="separate"/>
      </w:r>
      <w:r w:rsidR="00202F2F" w:rsidRPr="00347D76">
        <w:rPr>
          <w:bCs/>
          <w:noProof/>
          <w:lang w:val="en-US"/>
        </w:rPr>
        <w:t>[7]</w:t>
      </w:r>
      <w:r w:rsidR="0008444F" w:rsidRPr="00347D76">
        <w:rPr>
          <w:bCs/>
          <w:lang w:val="en-US"/>
        </w:rPr>
        <w:fldChar w:fldCharType="end"/>
      </w:r>
      <w:r w:rsidR="0008444F" w:rsidRPr="00347D76">
        <w:rPr>
          <w:bCs/>
          <w:lang w:val="en-US"/>
        </w:rPr>
        <w:t xml:space="preserve"> analysis. However, food POC diagnostics are in infancy stage mostly due to the analytical challenge set by complex food matrices, which mostly need exhaustive sample preparation, limiting point-of-need testing and end-user implementation. </w:t>
      </w:r>
      <w:r w:rsidR="00826B70" w:rsidRPr="00347D76">
        <w:rPr>
          <w:bCs/>
          <w:lang w:val="en-US"/>
        </w:rPr>
        <w:t>In the following paragraphs, important assets on POC diagnostics are discussed.</w:t>
      </w:r>
    </w:p>
    <w:p w14:paraId="7D64BADE" w14:textId="77777777" w:rsidR="00747C4C" w:rsidRPr="00347D76" w:rsidRDefault="00747C4C" w:rsidP="00C50B64">
      <w:pPr>
        <w:spacing w:line="276" w:lineRule="auto"/>
        <w:jc w:val="both"/>
        <w:rPr>
          <w:lang w:val="en-US"/>
        </w:rPr>
      </w:pPr>
    </w:p>
    <w:p w14:paraId="4C723EDD" w14:textId="403598C9" w:rsidR="00B3686A" w:rsidRPr="00347D76" w:rsidRDefault="00826B70" w:rsidP="00C50B64">
      <w:pPr>
        <w:spacing w:line="276" w:lineRule="auto"/>
        <w:ind w:firstLine="360"/>
        <w:jc w:val="both"/>
        <w:rPr>
          <w:i/>
          <w:lang w:val="en-US"/>
        </w:rPr>
      </w:pPr>
      <w:r w:rsidRPr="00347D76">
        <w:rPr>
          <w:i/>
          <w:lang w:val="en-US"/>
        </w:rPr>
        <w:t xml:space="preserve">2.1 </w:t>
      </w:r>
      <w:r w:rsidR="00B3686A" w:rsidRPr="00347D76">
        <w:rPr>
          <w:i/>
          <w:lang w:val="en-US"/>
        </w:rPr>
        <w:t xml:space="preserve">Membrane-based assays </w:t>
      </w:r>
    </w:p>
    <w:p w14:paraId="7AC8F1DA" w14:textId="36005951" w:rsidR="00B3686A" w:rsidRPr="00347D76" w:rsidRDefault="00B3686A" w:rsidP="00C50B64">
      <w:pPr>
        <w:spacing w:line="276" w:lineRule="auto"/>
        <w:ind w:firstLine="720"/>
        <w:jc w:val="both"/>
        <w:rPr>
          <w:lang w:val="en-US"/>
        </w:rPr>
      </w:pPr>
      <w:r w:rsidRPr="00347D76">
        <w:rPr>
          <w:lang w:val="en-US"/>
        </w:rPr>
        <w:t xml:space="preserve">LF assays are probably the most used POC diagnostic in the food analysis field. In principle, a LF consists of various zones of polymeric strips on which various substances can be accommodated and react with an analyte </w:t>
      </w:r>
      <w:r w:rsidRPr="00347D76">
        <w:rPr>
          <w:lang w:val="en-US"/>
        </w:rPr>
        <w:fldChar w:fldCharType="begin" w:fldLock="1"/>
      </w:r>
      <w:r w:rsidR="00826B70" w:rsidRPr="00347D76">
        <w:rPr>
          <w:lang w:val="en-US"/>
        </w:rPr>
        <w:instrText>ADDIN CSL_CITATION {"citationItems":[{"id":"ITEM-1","itemData":{"DOI":"10.1042/EBC20150012","ISSN":"1744-1358","abstract":"Lateral flow assays (LFAs) are the technology behind low-cost, simple, rapid and portable detection devices popular in biomedicine, agriculture, food and environmental sciences. This review presents an overview of the principle of the method and the critical components of the assay, focusing on lateral flow immunoassays. This type of assay has recently attracted considerable interest because of its potential to provide instantaneous diagnosis directly to patients. The range and interpretation of results and parameters used for evaluation of the assay will also be discussed. The main advantages and disadvantages of LFAs will be summarized and relevant future improvements to testing devices and strategies will be proposed. Finally, the major recent advances and future diagnostic applications in the LFA field will be explored.","author":[{"dropping-particle":"","family":"Koczula","given":"Katarzyna M","non-dropping-particle":"","parse-names":false,"suffix":""},{"dropping-particle":"","family":"Gallotta","given":"Andrea","non-dropping-particle":"","parse-names":false,"suffix":""}],"container-title":"Essays in biochemistry","id":"ITEM-1","issue":"1","issued":{"date-parts":[["2016","6","30"]]},"language":"eng","page":"111-120","publisher":"Portland Press Limited","title":"Lateral flow assays","type":"article-journal","volume":"60"},"uris":["http://www.mendeley.com/documents/?uuid=807f2965-829a-44a9-8a07-c2c763e12094"]}],"mendeley":{"formattedCitation":"[8]","plainTextFormattedCitation":"[8]","previouslyFormattedCitation":"[8]"},"properties":{"noteIndex":0},"schema":"https://github.com/citation-style-language/schema/raw/master/csl-citation.json"}</w:instrText>
      </w:r>
      <w:r w:rsidRPr="00347D76">
        <w:rPr>
          <w:lang w:val="en-US"/>
        </w:rPr>
        <w:fldChar w:fldCharType="separate"/>
      </w:r>
      <w:r w:rsidR="00202F2F" w:rsidRPr="00347D76">
        <w:rPr>
          <w:noProof/>
          <w:lang w:val="en-US"/>
        </w:rPr>
        <w:t>[8]</w:t>
      </w:r>
      <w:r w:rsidRPr="00347D76">
        <w:rPr>
          <w:lang w:val="en-US"/>
        </w:rPr>
        <w:fldChar w:fldCharType="end"/>
      </w:r>
      <w:r w:rsidRPr="00347D76">
        <w:rPr>
          <w:lang w:val="en-US"/>
        </w:rPr>
        <w:t>. Antibodies are commonly exploited as biorecognition elements and immobilized on two different spots, the test and the control line. The control line is used as an internal quality control necessary to verify that the LF is functional. Importantly, liquid samples or extracts containing an analyte move through this lateral device due to capillary forces. Two different formats of LF assays can be distinguished, namely competitive and sandwich formats</w:t>
      </w:r>
      <w:r w:rsidR="00222263" w:rsidRPr="00347D76">
        <w:rPr>
          <w:lang w:val="en-US"/>
        </w:rPr>
        <w:t xml:space="preserve"> (Fig.2)</w:t>
      </w:r>
      <w:r w:rsidRPr="00347D76">
        <w:rPr>
          <w:lang w:val="en-US"/>
        </w:rPr>
        <w:t>. Competitive assays are used for low molecular weight analytes and a positive result is related to the absence of a control line due to the blocking of antibody binding sites to protein-conjugates by the analyte. In terms of big molecules, for example allergens, the sandwich format is used and the analyte is immobilized between two complementary antibodies.  It is important to notice that in the near past, result evaluation was mainly made through virtual inspection. However, the utilization of smartphones has alternated this condition, as result semi-quantification can be achieved without the need of bulky readers.</w:t>
      </w:r>
    </w:p>
    <w:p w14:paraId="2421DCAE" w14:textId="77777777" w:rsidR="00222263" w:rsidRPr="00347D76" w:rsidRDefault="00222263" w:rsidP="00C50B64">
      <w:pPr>
        <w:keepNext/>
        <w:spacing w:line="276" w:lineRule="auto"/>
        <w:ind w:firstLine="720"/>
        <w:jc w:val="center"/>
        <w:rPr>
          <w:lang w:val="en-US"/>
        </w:rPr>
      </w:pPr>
      <w:r w:rsidRPr="00347D76">
        <w:rPr>
          <w:noProof/>
          <w:lang w:val="en-US"/>
        </w:rPr>
        <w:drawing>
          <wp:inline distT="0" distB="0" distL="0" distR="0" wp14:anchorId="0437FA7B" wp14:editId="35913EE2">
            <wp:extent cx="3825765" cy="2748431"/>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_LF.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62891" cy="2775102"/>
                    </a:xfrm>
                    <a:prstGeom prst="rect">
                      <a:avLst/>
                    </a:prstGeom>
                  </pic:spPr>
                </pic:pic>
              </a:graphicData>
            </a:graphic>
          </wp:inline>
        </w:drawing>
      </w:r>
    </w:p>
    <w:p w14:paraId="50100121" w14:textId="215B9BC9" w:rsidR="00222263" w:rsidRPr="00347D76" w:rsidRDefault="00222263" w:rsidP="00C50B64">
      <w:pPr>
        <w:pStyle w:val="Caption"/>
        <w:spacing w:line="276" w:lineRule="auto"/>
        <w:jc w:val="both"/>
        <w:rPr>
          <w:lang w:val="en-US"/>
        </w:rPr>
      </w:pPr>
      <w:r w:rsidRPr="00347D76">
        <w:rPr>
          <w:b/>
          <w:i w:val="0"/>
          <w:iCs w:val="0"/>
          <w:color w:val="auto"/>
          <w:sz w:val="24"/>
          <w:szCs w:val="24"/>
          <w:lang w:val="en-US"/>
        </w:rPr>
        <w:t xml:space="preserve">Fig. </w:t>
      </w:r>
      <w:r w:rsidRPr="00347D76">
        <w:rPr>
          <w:b/>
          <w:i w:val="0"/>
          <w:iCs w:val="0"/>
          <w:color w:val="auto"/>
          <w:sz w:val="24"/>
          <w:szCs w:val="24"/>
          <w:lang w:val="en-US"/>
        </w:rPr>
        <w:fldChar w:fldCharType="begin"/>
      </w:r>
      <w:r w:rsidRPr="00347D76">
        <w:rPr>
          <w:b/>
          <w:i w:val="0"/>
          <w:iCs w:val="0"/>
          <w:color w:val="auto"/>
          <w:sz w:val="24"/>
          <w:szCs w:val="24"/>
          <w:lang w:val="en-US"/>
        </w:rPr>
        <w:instrText xml:space="preserve"> SEQ Figure \* ARABIC </w:instrText>
      </w:r>
      <w:r w:rsidRPr="00347D76">
        <w:rPr>
          <w:b/>
          <w:i w:val="0"/>
          <w:iCs w:val="0"/>
          <w:color w:val="auto"/>
          <w:sz w:val="24"/>
          <w:szCs w:val="24"/>
          <w:lang w:val="en-US"/>
        </w:rPr>
        <w:fldChar w:fldCharType="separate"/>
      </w:r>
      <w:r w:rsidRPr="00347D76">
        <w:rPr>
          <w:b/>
          <w:i w:val="0"/>
          <w:iCs w:val="0"/>
          <w:color w:val="auto"/>
          <w:sz w:val="24"/>
          <w:szCs w:val="24"/>
          <w:lang w:val="en-US"/>
        </w:rPr>
        <w:t>2</w:t>
      </w:r>
      <w:r w:rsidRPr="00347D76">
        <w:rPr>
          <w:b/>
          <w:i w:val="0"/>
          <w:iCs w:val="0"/>
          <w:color w:val="auto"/>
          <w:sz w:val="24"/>
          <w:szCs w:val="24"/>
          <w:lang w:val="en-US"/>
        </w:rPr>
        <w:fldChar w:fldCharType="end"/>
      </w:r>
      <w:r w:rsidRPr="00347D76">
        <w:rPr>
          <w:b/>
          <w:i w:val="0"/>
          <w:iCs w:val="0"/>
          <w:color w:val="auto"/>
          <w:sz w:val="24"/>
          <w:szCs w:val="24"/>
          <w:lang w:val="en-US"/>
        </w:rPr>
        <w:t>.</w:t>
      </w:r>
      <w:r w:rsidRPr="00347D76">
        <w:rPr>
          <w:i w:val="0"/>
          <w:iCs w:val="0"/>
          <w:color w:val="auto"/>
          <w:sz w:val="24"/>
          <w:szCs w:val="24"/>
          <w:lang w:val="en-US"/>
        </w:rPr>
        <w:t xml:space="preserve"> </w:t>
      </w:r>
      <w:r w:rsidRPr="00347D76">
        <w:rPr>
          <w:i w:val="0"/>
          <w:iCs w:val="0"/>
          <w:color w:val="auto"/>
          <w:sz w:val="24"/>
          <w:szCs w:val="24"/>
          <w:lang w:val="en-US"/>
        </w:rPr>
        <w:t xml:space="preserve">Illustration of different LF formats, specifically a) a competitive format and b) a sandwich format. The lower line is the “test” line, and the upper line is the “control” line, reproduced with permission from </w:t>
      </w:r>
      <w:r w:rsidRPr="00347D76">
        <w:rPr>
          <w:i w:val="0"/>
          <w:iCs w:val="0"/>
          <w:color w:val="auto"/>
          <w:sz w:val="24"/>
          <w:szCs w:val="24"/>
          <w:lang w:val="en-US"/>
        </w:rPr>
        <w:fldChar w:fldCharType="begin" w:fldLock="1"/>
      </w:r>
      <w:r w:rsidRPr="00347D76">
        <w:rPr>
          <w:i w:val="0"/>
          <w:iCs w:val="0"/>
          <w:color w:val="auto"/>
          <w:sz w:val="24"/>
          <w:szCs w:val="24"/>
          <w:lang w:val="en-US"/>
        </w:rPr>
        <w:instrText>ADDIN CSL_CITATION {"citationItems":[{"id":"ITEM-1","itemData":{"DOI":"https://doi.org/10.1016/j.bios.2016.06.061","ISSN":"0956-5663","abstract":"Safety of food is of great concern these days due to various contaminations including toxins, infectious agents and chemical contaminants. Therefore, there is a need to develop promising and user's friendly method to monitor food safety. Lateral flow tests are new, simple and rapid alternative for detection of food-borne pathogens compared with traditional methods. In this review article, we surveyed application of lateral flow biosensors in detection of different food contaminants and labels used to enhance the efficiency of the system. Finally, the unique feature of multi-parametric analysis of analytes by lateral flow device has been reported, proving a lateral flow system is able to be designed in a way to detect multiple targets, simultaneously.","author":[{"dropping-particle":"","family":"Raeisossadati","given":"Mohammad Javad","non-dropping-particle":"","parse-names":false,"suffix":""},{"dropping-particle":"","family":"Danesh","given":"Noor Mohammad","non-dropping-particle":"","parse-names":false,"suffix":""},{"dropping-particle":"","family":"Borna","given":"Fazlollah","non-dropping-particle":"","parse-names":false,"suffix":""},{"dropping-particle":"","family":"Gholamzad","given":"Mehrdad","non-dropping-particle":"","parse-names":false,"suffix":""},{"dropping-particle":"","family":"Ramezani","given":"Mohammad","non-dropping-particle":"","parse-names":false,"suffix":""},{"dropping-particle":"","family":"Abnous","given":"Khalil","non-dropping-particle":"","parse-names":false,"suffix":""},{"dropping-particle":"","family":"Taghdisi","given":"Seyed Mohammad","non-dropping-particle":"","parse-names":false,"suffix":""}],"container-title":"Biosensors and Bioelectronics","id":"ITEM-1","issued":{"date-parts":[["2016"]]},"page":"235-246","title":"Lateral flow based immunobiosensors for detection of food contaminants","type":"article-journal","volume":"86"},"uris":["http://www.mendeley.com/documents/?uuid=c5ec9590-a94b-435a-8f22-94e83eeb9d83"]}],"mendeley":{"formattedCitation":"[9]","plainTextFormattedCitation":"[9]","previouslyFormattedCitation":"[14]"},"properties":{"noteIndex":0},"schema":"https://github.com/citation-style-language/schema/raw/master/csl-citation.json"}</w:instrText>
      </w:r>
      <w:r w:rsidRPr="00347D76">
        <w:rPr>
          <w:i w:val="0"/>
          <w:iCs w:val="0"/>
          <w:color w:val="auto"/>
          <w:sz w:val="24"/>
          <w:szCs w:val="24"/>
          <w:lang w:val="en-US"/>
        </w:rPr>
        <w:fldChar w:fldCharType="separate"/>
      </w:r>
      <w:r w:rsidRPr="00347D76">
        <w:rPr>
          <w:i w:val="0"/>
          <w:iCs w:val="0"/>
          <w:noProof/>
          <w:color w:val="auto"/>
          <w:sz w:val="24"/>
          <w:szCs w:val="24"/>
          <w:lang w:val="en-US"/>
        </w:rPr>
        <w:t>[9]</w:t>
      </w:r>
      <w:r w:rsidRPr="00347D76">
        <w:rPr>
          <w:i w:val="0"/>
          <w:iCs w:val="0"/>
          <w:color w:val="auto"/>
          <w:sz w:val="24"/>
          <w:szCs w:val="24"/>
          <w:lang w:val="en-US"/>
        </w:rPr>
        <w:fldChar w:fldCharType="end"/>
      </w:r>
      <w:r w:rsidRPr="00347D76">
        <w:rPr>
          <w:i w:val="0"/>
          <w:iCs w:val="0"/>
          <w:color w:val="auto"/>
          <w:sz w:val="24"/>
          <w:szCs w:val="24"/>
          <w:lang w:val="en-US"/>
        </w:rPr>
        <w:t>.</w:t>
      </w:r>
    </w:p>
    <w:p w14:paraId="55E292A7" w14:textId="2AF2393E" w:rsidR="00B3686A" w:rsidRPr="00347D76" w:rsidRDefault="00202F2F" w:rsidP="00C50B64">
      <w:pPr>
        <w:spacing w:line="276" w:lineRule="auto"/>
        <w:ind w:firstLine="720"/>
        <w:jc w:val="both"/>
        <w:rPr>
          <w:i/>
          <w:lang w:val="en-US"/>
        </w:rPr>
      </w:pPr>
      <w:r w:rsidRPr="00347D76">
        <w:rPr>
          <w:szCs w:val="24"/>
          <w:lang w:val="en-US"/>
        </w:rPr>
        <w:t>Regarding paper-based assays,</w:t>
      </w:r>
      <w:r w:rsidR="00B3686A" w:rsidRPr="00347D76">
        <w:rPr>
          <w:szCs w:val="24"/>
          <w:lang w:val="en-US"/>
        </w:rPr>
        <w:t xml:space="preserve"> they provide facility, portability, cost-effectiveness, eco-friendliness and rapidity. In fact, paper is a cellulose membrane on which it is possible to immobilize a wide range of (bio)-receptors </w:t>
      </w:r>
      <w:r w:rsidR="00B3686A" w:rsidRPr="00347D76">
        <w:rPr>
          <w:szCs w:val="24"/>
          <w:lang w:val="en-US"/>
        </w:rPr>
        <w:fldChar w:fldCharType="begin" w:fldLock="1"/>
      </w:r>
      <w:r w:rsidR="00222263" w:rsidRPr="00347D76">
        <w:rPr>
          <w:szCs w:val="24"/>
          <w:lang w:val="en-US"/>
        </w:rPr>
        <w:instrText>ADDIN CSL_CITATION {"citationItems":[{"id":"ITEM-1","itemData":{"ISSN":"0165-9936","author":[{"dropping-particle":"","family":"Justino","given":"Celine I L","non-dropping-particle":"","parse-names":false,"suffix":""},{"dropping-particle":"","family":"Freitas","given":"Ana C","non-dropping-particle":"","parse-names":false,"suffix":""},{"dropping-particle":"","family":"Pereira","given":"Ruth","non-dropping-particle":"","parse-names":false,"suffix":""},{"dropping-particle":"","family":"Duarte","given":"Armando C","non-dropping-particle":"","parse-names":false,"suffix":""},{"dropping-particle":"","family":"Santos","given":"Teresa A P Rocha","non-dropping-particle":"","parse-names":false,"suffix":""}],"container-title":"TrAC Trends in Analytical Chemistry","id":"ITEM-1","issued":{"date-parts":[["2015"]]},"page":"2-17","publisher":"Elsevier","title":"Recent developments in recognition elements for chemical sensors and biosensors","type":"article-journal","volume":"68"},"uris":["http://www.mendeley.com/documents/?uuid=48aa2f70-814b-4be2-918b-70d12e15fdf3"]}],"mendeley":{"formattedCitation":"[10]","plainTextFormattedCitation":"[10]","previouslyFormattedCitation":"[9]"},"properties":{"noteIndex":0},"schema":"https://github.com/citation-style-language/schema/raw/master/csl-citation.json"}</w:instrText>
      </w:r>
      <w:r w:rsidR="00B3686A" w:rsidRPr="00347D76">
        <w:rPr>
          <w:szCs w:val="24"/>
          <w:lang w:val="en-US"/>
        </w:rPr>
        <w:fldChar w:fldCharType="separate"/>
      </w:r>
      <w:r w:rsidR="00222263" w:rsidRPr="00347D76">
        <w:rPr>
          <w:noProof/>
          <w:szCs w:val="24"/>
          <w:lang w:val="en-US"/>
        </w:rPr>
        <w:t>[10]</w:t>
      </w:r>
      <w:r w:rsidR="00B3686A" w:rsidRPr="00347D76">
        <w:rPr>
          <w:szCs w:val="24"/>
          <w:lang w:val="en-US"/>
        </w:rPr>
        <w:fldChar w:fldCharType="end"/>
      </w:r>
      <w:r w:rsidR="00B3686A" w:rsidRPr="00347D76">
        <w:rPr>
          <w:szCs w:val="24"/>
          <w:lang w:val="en-US"/>
        </w:rPr>
        <w:t xml:space="preserve"> such as antibodies, enzymes or aptamers that are able to selectively and sensitively detect analytes. To achieve that, various immobilization strategies </w:t>
      </w:r>
      <w:r w:rsidR="00B3686A" w:rsidRPr="00347D76">
        <w:rPr>
          <w:szCs w:val="24"/>
          <w:lang w:val="en-US"/>
        </w:rPr>
        <w:fldChar w:fldCharType="begin" w:fldLock="1"/>
      </w:r>
      <w:r w:rsidR="00222263" w:rsidRPr="00347D76">
        <w:rPr>
          <w:szCs w:val="24"/>
          <w:lang w:val="en-US"/>
        </w:rPr>
        <w:instrText>ADDIN CSL_CITATION {"citationItems":[{"id":"ITEM-1","itemData":{"DOI":"https://doi.org/10.1016/j.jpba.2015.08.041","ISSN":"0731-7085","author":[{"dropping-particle":"","family":"Nery","given":"Emilia Witkowska","non-dropping-particle":"","parse-names":false,"suffix":""},{"dropping-particle":"","family":"Kubota","given":"Lauro T","non-dropping-particle":"","parse-names":false,"suffix":""}],"container-title":"Journal of Pharmaceutical and Biomedical Analysis","id":"ITEM-1","issue":"Supplement C","issued":{"date-parts":[["2016"]]},"page":"551-559","title":"Evaluation of enzyme immobilization methods for paper-based devices—A glucose oxidase study","type":"article-journal","volume":"117"},"uris":["http://www.mendeley.com/documents/?uuid=3a380102-145b-46f9-825b-66483271c73c","http://www.mendeley.com/documents/?uuid=0cabec46-8b85-4362-b95a-ba28e246a8c6"]}],"mendeley":{"formattedCitation":"[11]","plainTextFormattedCitation":"[11]","previouslyFormattedCitation":"[10]"},"properties":{"noteIndex":0},"schema":"https://github.com/citation-style-language/schema/raw/master/csl-citation.json"}</w:instrText>
      </w:r>
      <w:r w:rsidR="00B3686A" w:rsidRPr="00347D76">
        <w:rPr>
          <w:szCs w:val="24"/>
          <w:lang w:val="en-US"/>
        </w:rPr>
        <w:fldChar w:fldCharType="separate"/>
      </w:r>
      <w:r w:rsidR="00222263" w:rsidRPr="00347D76">
        <w:rPr>
          <w:noProof/>
          <w:szCs w:val="24"/>
          <w:lang w:val="en-US"/>
        </w:rPr>
        <w:t>[11]</w:t>
      </w:r>
      <w:r w:rsidR="00B3686A" w:rsidRPr="00347D76">
        <w:rPr>
          <w:szCs w:val="24"/>
          <w:lang w:val="en-US"/>
        </w:rPr>
        <w:fldChar w:fldCharType="end"/>
      </w:r>
      <w:r w:rsidR="00B3686A" w:rsidRPr="00347D76">
        <w:rPr>
          <w:szCs w:val="24"/>
          <w:lang w:val="en-US"/>
        </w:rPr>
        <w:t xml:space="preserve">, e.g. physical adsorption or covalent binding can be used, which are related to different advantages and drawbacks. Physical adsorption protocols are easy requiring minimal experience to apply them, but a long shelf life is not always achieved as the recognition elements may not be sufficiently adsorbed. On the other hand, covalent binding can achieve better binding of receptors on cellulose surfaces. Nevertheless, a stronger binding may affect the activity of a recognition element, for example by alternating the active site of an enzyme, thus decreasing the attainable analytical signal. </w:t>
      </w:r>
    </w:p>
    <w:p w14:paraId="6DBF63C4" w14:textId="77777777" w:rsidR="00B3686A" w:rsidRPr="00347D76" w:rsidRDefault="00B3686A" w:rsidP="00C50B64">
      <w:pPr>
        <w:spacing w:line="276" w:lineRule="auto"/>
        <w:jc w:val="both"/>
        <w:rPr>
          <w:i/>
          <w:lang w:val="en-US"/>
        </w:rPr>
      </w:pPr>
    </w:p>
    <w:p w14:paraId="2C0174DE" w14:textId="14DF7AE3" w:rsidR="00747C4C" w:rsidRPr="00347D76" w:rsidRDefault="00826B70" w:rsidP="00C50B64">
      <w:pPr>
        <w:spacing w:line="276" w:lineRule="auto"/>
        <w:ind w:firstLine="425"/>
        <w:jc w:val="both"/>
        <w:rPr>
          <w:i/>
          <w:lang w:val="en-US"/>
        </w:rPr>
      </w:pPr>
      <w:r w:rsidRPr="00347D76">
        <w:rPr>
          <w:i/>
          <w:lang w:val="en-US"/>
        </w:rPr>
        <w:t xml:space="preserve">2.2 </w:t>
      </w:r>
      <w:r w:rsidR="00747C4C" w:rsidRPr="00347D76">
        <w:rPr>
          <w:i/>
          <w:lang w:val="en-US"/>
        </w:rPr>
        <w:t>Lab-on-a-chip technology and 3D-printing</w:t>
      </w:r>
    </w:p>
    <w:p w14:paraId="57827E1E" w14:textId="77777777" w:rsidR="00747C4C" w:rsidRPr="00347D76" w:rsidRDefault="00747C4C" w:rsidP="00C50B64">
      <w:pPr>
        <w:pStyle w:val="MDPI31text"/>
        <w:spacing w:line="276" w:lineRule="auto"/>
        <w:rPr>
          <w:rFonts w:ascii="Times New Roman" w:hAnsi="Times New Roman"/>
          <w:snapToGrid/>
          <w:color w:val="auto"/>
          <w:sz w:val="24"/>
          <w:szCs w:val="24"/>
          <w:lang w:eastAsia="ar-SA" w:bidi="ar-SA"/>
        </w:rPr>
      </w:pPr>
      <w:r w:rsidRPr="00347D76">
        <w:rPr>
          <w:rFonts w:ascii="Times New Roman" w:hAnsi="Times New Roman"/>
          <w:snapToGrid/>
          <w:color w:val="auto"/>
          <w:sz w:val="24"/>
          <w:szCs w:val="24"/>
          <w:lang w:eastAsia="ar-SA" w:bidi="ar-SA"/>
        </w:rPr>
        <w:t xml:space="preserve">Despite considering automated and miniaturized analytical methods was not realistic in the near past, the introduction of LOC into food analysis has brought novel capabilities. LOC can carry out some or even all stages of an analytical protocol, e.g. sample injection or mixing, and attain rapid results due to the high surface to volume ratio which is achieved. LOC devices can be pocket size accommodating laboratory functions on a chip with cm-dimensions. Therefore, reagent consumption is minimal, typically at the </w:t>
      </w:r>
      <w:proofErr w:type="spellStart"/>
      <w:r w:rsidRPr="00347D76">
        <w:rPr>
          <w:rFonts w:ascii="Times New Roman" w:hAnsi="Times New Roman"/>
          <w:snapToGrid/>
          <w:color w:val="auto"/>
          <w:sz w:val="24"/>
          <w:szCs w:val="24"/>
          <w:lang w:eastAsia="ar-SA" w:bidi="ar-SA"/>
        </w:rPr>
        <w:t>μL</w:t>
      </w:r>
      <w:proofErr w:type="spellEnd"/>
      <w:r w:rsidRPr="00347D76">
        <w:rPr>
          <w:rFonts w:ascii="Times New Roman" w:hAnsi="Times New Roman"/>
          <w:snapToGrid/>
          <w:color w:val="auto"/>
          <w:sz w:val="24"/>
          <w:szCs w:val="24"/>
          <w:lang w:eastAsia="ar-SA" w:bidi="ar-SA"/>
        </w:rPr>
        <w:t xml:space="preserve"> level, resulting in less waste generation. </w:t>
      </w:r>
    </w:p>
    <w:p w14:paraId="442D216F" w14:textId="085CC172" w:rsidR="00747C4C" w:rsidRPr="00347D76" w:rsidRDefault="00747C4C" w:rsidP="00C50B64">
      <w:pPr>
        <w:pStyle w:val="MDPI31text"/>
        <w:spacing w:line="276" w:lineRule="auto"/>
        <w:rPr>
          <w:rFonts w:ascii="Times New Roman" w:hAnsi="Times New Roman"/>
          <w:snapToGrid/>
          <w:color w:val="auto"/>
          <w:sz w:val="24"/>
          <w:szCs w:val="24"/>
          <w:lang w:eastAsia="ar-SA" w:bidi="ar-SA"/>
        </w:rPr>
      </w:pPr>
      <w:r w:rsidRPr="00347D76">
        <w:rPr>
          <w:rFonts w:ascii="Times New Roman" w:hAnsi="Times New Roman"/>
          <w:snapToGrid/>
          <w:color w:val="auto"/>
          <w:sz w:val="24"/>
          <w:szCs w:val="24"/>
          <w:lang w:eastAsia="ar-SA" w:bidi="ar-SA"/>
        </w:rPr>
        <w:t xml:space="preserve">In terms of such device fabrication, they can be cost-efficiently fabricated using additive manufacturing (AM) or, as it is widely known, 3D-printing. AM is a process that creates a physical object from a digital design, which was developed using computer aided design (CAD) or a CAD software. According to the American Society for Testing and Materials (ASTM), “AM refers to a process by which digital 3D design data is used to build up a component in layers by depositing material”. The printing is performed by adding layer-upon-layer of a material using various types of AM technologies. A comprehensive overview on the process from the virtual CAD description to the physical resultant part can be found in </w:t>
      </w:r>
      <w:r w:rsidRPr="00347D76">
        <w:rPr>
          <w:rFonts w:ascii="Times New Roman" w:hAnsi="Times New Roman"/>
          <w:snapToGrid/>
          <w:color w:val="auto"/>
          <w:sz w:val="24"/>
          <w:szCs w:val="24"/>
          <w:lang w:eastAsia="ar-SA" w:bidi="ar-SA"/>
        </w:rPr>
        <w:fldChar w:fldCharType="begin" w:fldLock="1"/>
      </w:r>
      <w:r w:rsidR="00222263" w:rsidRPr="00347D76">
        <w:rPr>
          <w:rFonts w:ascii="Times New Roman" w:hAnsi="Times New Roman"/>
          <w:snapToGrid/>
          <w:color w:val="auto"/>
          <w:sz w:val="24"/>
          <w:szCs w:val="24"/>
          <w:lang w:eastAsia="ar-SA" w:bidi="ar-SA"/>
        </w:rPr>
        <w:instrText>ADDIN CSL_CITATION {"citationItems":[{"id":"ITEM-1","itemData":{"author":[{"dropping-particle":"","family":"Gibson","given":"Ian","non-dropping-particle":"","parse-names":false,"suffix":""},{"dropping-particle":"","family":"Rosen","given":"David W","non-dropping-particle":"","parse-names":false,"suffix":""},{"dropping-particle":"","family":"Stucker","given":"Brent","non-dropping-particle":"","parse-names":false,"suffix":""}],"id":"ITEM-1","issued":{"date-parts":[["2014"]]},"publisher":"Springer","title":"Additive manufacturing technologies","type":"book","volume":"17"},"uris":["http://www.mendeley.com/documents/?uuid=0b58194d-4101-4ffe-a881-65f5ce189581","http://www.mendeley.com/documents/?uuid=8d82cf6b-ee50-4b34-87d3-7fe422432977"]}],"mendeley":{"formattedCitation":"[12]","plainTextFormattedCitation":"[12]","previouslyFormattedCitation":"[11]"},"properties":{"noteIndex":0},"schema":"https://github.com/citation-style-language/schema/raw/master/csl-citation.json"}</w:instrText>
      </w:r>
      <w:r w:rsidRPr="00347D76">
        <w:rPr>
          <w:rFonts w:ascii="Times New Roman" w:hAnsi="Times New Roman"/>
          <w:snapToGrid/>
          <w:color w:val="auto"/>
          <w:sz w:val="24"/>
          <w:szCs w:val="24"/>
          <w:lang w:eastAsia="ar-SA" w:bidi="ar-SA"/>
        </w:rPr>
        <w:fldChar w:fldCharType="separate"/>
      </w:r>
      <w:r w:rsidR="00222263" w:rsidRPr="00347D76">
        <w:rPr>
          <w:rFonts w:ascii="Times New Roman" w:hAnsi="Times New Roman"/>
          <w:noProof/>
          <w:snapToGrid/>
          <w:color w:val="auto"/>
          <w:sz w:val="24"/>
          <w:szCs w:val="24"/>
          <w:lang w:eastAsia="ar-SA" w:bidi="ar-SA"/>
        </w:rPr>
        <w:t>[12]</w:t>
      </w:r>
      <w:r w:rsidRPr="00347D76">
        <w:rPr>
          <w:rFonts w:ascii="Times New Roman" w:hAnsi="Times New Roman"/>
          <w:snapToGrid/>
          <w:color w:val="auto"/>
          <w:sz w:val="24"/>
          <w:szCs w:val="24"/>
          <w:lang w:eastAsia="ar-SA" w:bidi="ar-SA"/>
        </w:rPr>
        <w:fldChar w:fldCharType="end"/>
      </w:r>
      <w:r w:rsidRPr="00347D76">
        <w:rPr>
          <w:rFonts w:ascii="Times New Roman" w:hAnsi="Times New Roman"/>
          <w:snapToGrid/>
          <w:color w:val="auto"/>
          <w:sz w:val="24"/>
          <w:szCs w:val="24"/>
          <w:lang w:eastAsia="ar-SA" w:bidi="ar-SA"/>
        </w:rPr>
        <w:t xml:space="preserve"> and is recommended for a deeper understanding while Fig. </w:t>
      </w:r>
      <w:r w:rsidR="00C12556">
        <w:rPr>
          <w:rFonts w:ascii="Times New Roman" w:hAnsi="Times New Roman"/>
          <w:snapToGrid/>
          <w:color w:val="auto"/>
          <w:sz w:val="24"/>
          <w:szCs w:val="24"/>
          <w:lang w:eastAsia="ar-SA" w:bidi="ar-SA"/>
        </w:rPr>
        <w:t xml:space="preserve">3 </w:t>
      </w:r>
      <w:r w:rsidRPr="00347D76">
        <w:rPr>
          <w:rFonts w:ascii="Times New Roman" w:hAnsi="Times New Roman"/>
          <w:snapToGrid/>
          <w:color w:val="auto"/>
          <w:sz w:val="24"/>
          <w:szCs w:val="24"/>
          <w:lang w:eastAsia="ar-SA" w:bidi="ar-SA"/>
        </w:rPr>
        <w:t>provides a general overview of an AM workflow.</w:t>
      </w:r>
    </w:p>
    <w:p w14:paraId="068FAE32" w14:textId="56F7A3E2" w:rsidR="00497A51" w:rsidRPr="00347D76" w:rsidRDefault="00347D76" w:rsidP="00C50B64">
      <w:pPr>
        <w:pStyle w:val="MDPI31text"/>
        <w:spacing w:line="276" w:lineRule="auto"/>
        <w:jc w:val="center"/>
        <w:rPr>
          <w:rFonts w:ascii="Times New Roman" w:hAnsi="Times New Roman"/>
          <w:snapToGrid/>
          <w:color w:val="auto"/>
          <w:sz w:val="24"/>
          <w:szCs w:val="24"/>
          <w:lang w:eastAsia="ar-SA" w:bidi="ar-SA"/>
        </w:rPr>
      </w:pPr>
      <w:r>
        <w:rPr>
          <w:noProof/>
        </w:rPr>
        <w:drawing>
          <wp:inline distT="0" distB="0" distL="0" distR="0" wp14:anchorId="3292F79B" wp14:editId="2390A413">
            <wp:extent cx="3289738" cy="3005846"/>
            <wp:effectExtent l="0" t="0" r="6350" b="4445"/>
            <wp:docPr id="1" name="Picture 1" descr="3dprinting Step by Step Process #3dprintinginfographic | 3d printing, What  is 3d printing, 3d printer mod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dprinting Step by Step Process #3dprintinginfographic | 3d printing, What  is 3d printing, 3d printer model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08595" cy="3023075"/>
                    </a:xfrm>
                    <a:prstGeom prst="rect">
                      <a:avLst/>
                    </a:prstGeom>
                    <a:noFill/>
                    <a:ln>
                      <a:noFill/>
                    </a:ln>
                  </pic:spPr>
                </pic:pic>
              </a:graphicData>
            </a:graphic>
          </wp:inline>
        </w:drawing>
      </w:r>
    </w:p>
    <w:p w14:paraId="679FF033" w14:textId="20263866" w:rsidR="00747C4C" w:rsidRDefault="00497A51" w:rsidP="00C50B64">
      <w:pPr>
        <w:pStyle w:val="Caption"/>
        <w:spacing w:line="276" w:lineRule="auto"/>
        <w:jc w:val="both"/>
        <w:rPr>
          <w:bCs/>
          <w:i w:val="0"/>
          <w:iCs w:val="0"/>
          <w:color w:val="auto"/>
          <w:sz w:val="24"/>
          <w:szCs w:val="20"/>
          <w:lang w:val="en-US"/>
        </w:rPr>
      </w:pPr>
      <w:r w:rsidRPr="00347D76">
        <w:rPr>
          <w:b/>
          <w:bCs/>
          <w:i w:val="0"/>
          <w:iCs w:val="0"/>
          <w:color w:val="auto"/>
          <w:sz w:val="24"/>
          <w:szCs w:val="20"/>
          <w:lang w:val="en-US"/>
        </w:rPr>
        <w:t xml:space="preserve">Figure </w:t>
      </w:r>
      <w:r w:rsidRPr="00347D76">
        <w:rPr>
          <w:b/>
          <w:bCs/>
          <w:i w:val="0"/>
          <w:iCs w:val="0"/>
          <w:color w:val="auto"/>
          <w:sz w:val="24"/>
          <w:szCs w:val="20"/>
          <w:lang w:val="en-US"/>
        </w:rPr>
        <w:fldChar w:fldCharType="begin"/>
      </w:r>
      <w:r w:rsidRPr="00347D76">
        <w:rPr>
          <w:b/>
          <w:bCs/>
          <w:i w:val="0"/>
          <w:iCs w:val="0"/>
          <w:color w:val="auto"/>
          <w:sz w:val="24"/>
          <w:szCs w:val="20"/>
          <w:lang w:val="en-US"/>
        </w:rPr>
        <w:instrText xml:space="preserve"> SEQ Figure \* ARABIC </w:instrText>
      </w:r>
      <w:r w:rsidRPr="00347D76">
        <w:rPr>
          <w:b/>
          <w:bCs/>
          <w:i w:val="0"/>
          <w:iCs w:val="0"/>
          <w:color w:val="auto"/>
          <w:sz w:val="24"/>
          <w:szCs w:val="20"/>
          <w:lang w:val="en-US"/>
        </w:rPr>
        <w:fldChar w:fldCharType="separate"/>
      </w:r>
      <w:r w:rsidR="00222263" w:rsidRPr="00347D76">
        <w:rPr>
          <w:b/>
          <w:bCs/>
          <w:i w:val="0"/>
          <w:iCs w:val="0"/>
          <w:noProof/>
          <w:color w:val="auto"/>
          <w:sz w:val="24"/>
          <w:szCs w:val="20"/>
          <w:lang w:val="en-US"/>
        </w:rPr>
        <w:t>3</w:t>
      </w:r>
      <w:r w:rsidRPr="00347D76">
        <w:rPr>
          <w:b/>
          <w:bCs/>
          <w:i w:val="0"/>
          <w:iCs w:val="0"/>
          <w:color w:val="auto"/>
          <w:sz w:val="24"/>
          <w:szCs w:val="20"/>
          <w:lang w:val="en-US"/>
        </w:rPr>
        <w:fldChar w:fldCharType="end"/>
      </w:r>
      <w:r w:rsidRPr="00347D76">
        <w:rPr>
          <w:b/>
          <w:bCs/>
          <w:i w:val="0"/>
          <w:iCs w:val="0"/>
          <w:color w:val="auto"/>
          <w:sz w:val="24"/>
          <w:szCs w:val="20"/>
          <w:lang w:val="en-US"/>
        </w:rPr>
        <w:t xml:space="preserve">. </w:t>
      </w:r>
      <w:r w:rsidRPr="00347D76">
        <w:rPr>
          <w:bCs/>
          <w:i w:val="0"/>
          <w:iCs w:val="0"/>
          <w:color w:val="auto"/>
          <w:sz w:val="24"/>
          <w:szCs w:val="20"/>
          <w:lang w:val="en-US"/>
        </w:rPr>
        <w:t>The generic AM process</w:t>
      </w:r>
      <w:r w:rsidR="00347D76">
        <w:rPr>
          <w:bCs/>
          <w:i w:val="0"/>
          <w:iCs w:val="0"/>
          <w:color w:val="auto"/>
          <w:sz w:val="24"/>
          <w:szCs w:val="20"/>
          <w:lang w:val="en-US"/>
        </w:rPr>
        <w:t xml:space="preserve">, source: </w:t>
      </w:r>
      <w:hyperlink r:id="rId16" w:history="1">
        <w:r w:rsidR="00C12556" w:rsidRPr="00744F07">
          <w:rPr>
            <w:rStyle w:val="Hyperlink"/>
            <w:bCs/>
            <w:i w:val="0"/>
            <w:iCs w:val="0"/>
            <w:sz w:val="24"/>
            <w:szCs w:val="20"/>
            <w:lang w:val="en-US"/>
          </w:rPr>
          <w:t>www.pinterest.ie</w:t>
        </w:r>
      </w:hyperlink>
      <w:r w:rsidR="00C12556">
        <w:rPr>
          <w:bCs/>
          <w:i w:val="0"/>
          <w:iCs w:val="0"/>
          <w:color w:val="auto"/>
          <w:sz w:val="24"/>
          <w:szCs w:val="20"/>
          <w:lang w:val="en-US"/>
        </w:rPr>
        <w:t>, last accessed 21/9/2020.</w:t>
      </w:r>
    </w:p>
    <w:p w14:paraId="754E61CA" w14:textId="77777777" w:rsidR="00A967F1" w:rsidRPr="00A967F1" w:rsidRDefault="00A967F1" w:rsidP="00C50B64">
      <w:pPr>
        <w:jc w:val="both"/>
        <w:rPr>
          <w:lang w:val="en-US"/>
        </w:rPr>
      </w:pPr>
    </w:p>
    <w:p w14:paraId="4013C418" w14:textId="065D6812" w:rsidR="00747C4C" w:rsidRPr="00347D76" w:rsidRDefault="00747C4C" w:rsidP="00C50B64">
      <w:pPr>
        <w:pStyle w:val="ListParagraph"/>
        <w:numPr>
          <w:ilvl w:val="0"/>
          <w:numId w:val="31"/>
        </w:numPr>
        <w:spacing w:line="276" w:lineRule="auto"/>
        <w:jc w:val="both"/>
        <w:rPr>
          <w:i/>
          <w:lang w:val="en-US"/>
        </w:rPr>
      </w:pPr>
      <w:r w:rsidRPr="00347D76">
        <w:rPr>
          <w:i/>
          <w:lang w:val="en-US"/>
        </w:rPr>
        <w:t>Smartphone-based analysis</w:t>
      </w:r>
      <w:r w:rsidR="00826B70" w:rsidRPr="00347D76">
        <w:rPr>
          <w:i/>
          <w:lang w:val="en-US"/>
        </w:rPr>
        <w:t>: state of the art and challenges</w:t>
      </w:r>
    </w:p>
    <w:p w14:paraId="62A7113A" w14:textId="4CB9A12F" w:rsidR="00826B70" w:rsidRPr="00347D76" w:rsidRDefault="0008444F" w:rsidP="00C50B64">
      <w:pPr>
        <w:spacing w:line="276" w:lineRule="auto"/>
        <w:ind w:firstLine="360"/>
        <w:jc w:val="both"/>
        <w:rPr>
          <w:lang w:val="en-US"/>
        </w:rPr>
      </w:pPr>
      <w:r w:rsidRPr="00347D76">
        <w:rPr>
          <w:bCs/>
          <w:lang w:val="en-US"/>
        </w:rPr>
        <w:t xml:space="preserve"> </w:t>
      </w:r>
      <w:r w:rsidRPr="00347D76">
        <w:rPr>
          <w:lang w:val="en-US"/>
        </w:rPr>
        <w:t xml:space="preserve">POC </w:t>
      </w:r>
      <w:r w:rsidR="00826B70" w:rsidRPr="00347D76">
        <w:rPr>
          <w:lang w:val="en-US"/>
        </w:rPr>
        <w:t xml:space="preserve">diagnostic </w:t>
      </w:r>
      <w:r w:rsidRPr="00347D76">
        <w:rPr>
          <w:lang w:val="en-US"/>
        </w:rPr>
        <w:t xml:space="preserve">potential can be further enhanced by coupling them with smartphones to achieve ubiquitous monitoring </w:t>
      </w:r>
      <w:r w:rsidRPr="00347D76">
        <w:rPr>
          <w:lang w:val="en-US"/>
        </w:rPr>
        <w:fldChar w:fldCharType="begin" w:fldLock="1"/>
      </w:r>
      <w:r w:rsidR="00222263" w:rsidRPr="00347D76">
        <w:rPr>
          <w:lang w:val="en-US"/>
        </w:rPr>
        <w:instrText>ADDIN CSL_CITATION {"citationItems":[{"id":"ITEM-1","itemData":{"author":[{"dropping-particle":"","family":"Nelis","given":"Joost","non-dropping-particle":"","parse-names":false,"suffix":""},{"dropping-particle":"","family":"Elliott","given":"Christopher","non-dropping-particle":"","parse-names":false,"suffix":""},{"dropping-particle":"","family":"Campbell","given":"Katrina","non-dropping-particle":"","parse-names":false,"suffix":""}],"container-title":"Biosensors","id":"ITEM-1","issue":"4","issued":{"date-parts":[["2018"]]},"page":"96","publisher":"Multidisciplinary Digital Publishing Institute","title":"“The Smartphone’s Guide to the Galaxy”: In Situ Analysis in Space","type":"article-journal","volume":"8"},"uris":["http://www.mendeley.com/documents/?uuid=33a1d919-32d8-476a-8541-2086f37a0e75"]}],"mendeley":{"formattedCitation":"[13]","plainTextFormattedCitation":"[13]","previouslyFormattedCitation":"[12]"},"properties":{"noteIndex":0},"schema":"https://github.com/citation-style-language/schema/raw/master/csl-citation.json"}</w:instrText>
      </w:r>
      <w:r w:rsidRPr="00347D76">
        <w:rPr>
          <w:lang w:val="en-US"/>
        </w:rPr>
        <w:fldChar w:fldCharType="separate"/>
      </w:r>
      <w:r w:rsidR="00222263" w:rsidRPr="00347D76">
        <w:rPr>
          <w:noProof/>
          <w:lang w:val="en-US"/>
        </w:rPr>
        <w:t>[13]</w:t>
      </w:r>
      <w:r w:rsidRPr="00347D76">
        <w:rPr>
          <w:lang w:val="en-US"/>
        </w:rPr>
        <w:fldChar w:fldCharType="end"/>
      </w:r>
      <w:r w:rsidRPr="00347D76">
        <w:rPr>
          <w:lang w:val="en-US"/>
        </w:rPr>
        <w:t xml:space="preserve">.  Real-time one-click results due to smartphone apps, online connectivity, geo-temporal mapping or potential end-user implementation are among the merits that smartphone utilization brings. POC methods with smartphone readout can provide personalized results and initiate a paradigm shift by intensifying testing. In terms of food analysis, pre-screening of food with POC will result in laboratory-based testing only for suspected samples. Therefore, rapid results will lead to a better utilization of available recourses and introduce to the general public the importance of food testing, a process commonly forgotten or underestimated. Indeed, the hyphenation of POC diagnostics to smartphones is a step towards the “democratization” of chemical analysis and the introduction of new era, in which sensing is not strictly related to laboratories. </w:t>
      </w:r>
      <w:r w:rsidR="00826B70" w:rsidRPr="00347D76">
        <w:rPr>
          <w:lang w:val="en-US"/>
        </w:rPr>
        <w:t xml:space="preserve">Further information and insight on the topic can be found in our review paper </w:t>
      </w:r>
      <w:r w:rsidR="00826B70" w:rsidRPr="00347D76">
        <w:rPr>
          <w:lang w:val="en-US"/>
        </w:rPr>
        <w:fldChar w:fldCharType="begin" w:fldLock="1"/>
      </w:r>
      <w:r w:rsidR="00222263" w:rsidRPr="00347D76">
        <w:rPr>
          <w:lang w:val="en-US"/>
        </w:rPr>
        <w:instrText>ADDIN CSL_CITATION {"citationItems":[{"id":"ITEM-1","itemData":{"DOI":"https://doi.org/10.1016/j.trac.2020.115934","ISSN":"0165-9936","abstract":"Smartphone based devices (SBDs) have the potential to revolutionize food safety control by empowering citizens to perform screening tests. To achieve this, it is of paramount importance to understand current research efforts and identify key technology gaps. Therefore, a systematic review of optical SBDs in the food safety sector was performed. An overview of reviewed SBDs is given focusing on performance characteristics as well as image analysis procedures. The state-of-the-art on commercially available SBDs is also provided. This analysis revealed several important technology gaps, the most prominent of which are: (i) the need to reach a consensus regarding optimal image analysis, (ii) the need to assess the effect of measurement variation caused by using different smartphones and (iii) the need to standardize validation procedures to obtain robust data. Addressing these issues will drive the development of SBDs and potentially unlock their massive potential for citizen-based food control.","author":[{"dropping-particle":"","family":"Nelis","given":"J L D","non-dropping-particle":"","parse-names":false,"suffix":""},{"dropping-particle":"","family":"Tsagkaris","given":"A S","non-dropping-particle":"","parse-names":false,"suffix":""},{"dropping-particle":"","family":"Dillon","given":"M J","non-dropping-particle":"","parse-names":false,"suffix":""},{"dropping-particle":"","family":"Hajslova","given":"J","non-dropping-particle":"","parse-names":false,"suffix":""},{"dropping-particle":"","family":"Elliott","given":"C T","non-dropping-particle":"","parse-names":false,"suffix":""}],"container-title":"TrAC Trends in Analytical Chemistry","id":"ITEM-1","issued":{"date-parts":[["2020"]]},"page":"115934","title":"Smartphone-based optical assays in the food safety field","type":"article-journal","volume":"129"},"uris":["http://www.mendeley.com/documents/?uuid=bed01838-d80a-4112-b845-a169a00f40f9"]}],"mendeley":{"formattedCitation":"[14]","plainTextFormattedCitation":"[14]","previouslyFormattedCitation":"[13]"},"properties":{"noteIndex":0},"schema":"https://github.com/citation-style-language/schema/raw/master/csl-citation.json"}</w:instrText>
      </w:r>
      <w:r w:rsidR="00826B70" w:rsidRPr="00347D76">
        <w:rPr>
          <w:lang w:val="en-US"/>
        </w:rPr>
        <w:fldChar w:fldCharType="separate"/>
      </w:r>
      <w:r w:rsidR="00222263" w:rsidRPr="00347D76">
        <w:rPr>
          <w:noProof/>
          <w:lang w:val="en-US"/>
        </w:rPr>
        <w:t>[14]</w:t>
      </w:r>
      <w:r w:rsidR="00826B70" w:rsidRPr="00347D76">
        <w:rPr>
          <w:lang w:val="en-US"/>
        </w:rPr>
        <w:fldChar w:fldCharType="end"/>
      </w:r>
      <w:r w:rsidR="00826B70" w:rsidRPr="00347D76">
        <w:rPr>
          <w:lang w:val="en-US"/>
        </w:rPr>
        <w:t xml:space="preserve">. </w:t>
      </w:r>
    </w:p>
    <w:p w14:paraId="66539D3A" w14:textId="16178C8B" w:rsidR="0008444F" w:rsidRPr="00347D76" w:rsidRDefault="00826B70" w:rsidP="00C50B64">
      <w:pPr>
        <w:spacing w:line="276" w:lineRule="auto"/>
        <w:ind w:firstLine="360"/>
        <w:jc w:val="both"/>
        <w:rPr>
          <w:bCs/>
          <w:lang w:val="en-US"/>
        </w:rPr>
      </w:pPr>
      <w:r w:rsidRPr="00347D76">
        <w:rPr>
          <w:lang w:val="en-US"/>
        </w:rPr>
        <w:t>T</w:t>
      </w:r>
      <w:r w:rsidRPr="00347D76">
        <w:rPr>
          <w:bCs/>
          <w:lang w:val="en-US"/>
        </w:rPr>
        <w:t>here</w:t>
      </w:r>
      <w:r w:rsidR="0008444F" w:rsidRPr="00347D76">
        <w:rPr>
          <w:bCs/>
          <w:lang w:val="en-US"/>
        </w:rPr>
        <w:t xml:space="preserve"> are still challenges regarding the performance of POC diagnostics coupled to smartphones. To begin with, to achieve a truly personalized monitoring, acquired results should not be affected by the use of any smartphone model. However, this is not the case; the majority of developed smartphone-based assays are applicable only when using certain smartphones. Besides, lot of controversy has been around regarding image data acquisition and processing when using a smartphone readout. Although electrochemical detection is also use</w:t>
      </w:r>
      <w:r w:rsidRPr="00347D76">
        <w:rPr>
          <w:bCs/>
          <w:lang w:val="en-US"/>
        </w:rPr>
        <w:t>d</w:t>
      </w:r>
      <w:r w:rsidR="0008444F" w:rsidRPr="00347D76">
        <w:rPr>
          <w:bCs/>
          <w:lang w:val="en-US"/>
        </w:rPr>
        <w:t>, optical detection is more preferable and convenient so far as the smartphone camera can be used to record images or videos. In terms of data acquisition, it has not been clear so far whether is necessary to use auxiliary attachable parts such as 3D-printed elements to standardize optical conditions or record under ambient light. Various data processing approaches have been developed using the RGB color space (the primary color space in which smartphones capture images by default) or transforming the original signal to other color spaces (HSV or CIE-Lab) or to barcodes</w:t>
      </w:r>
      <w:r w:rsidRPr="00347D76">
        <w:rPr>
          <w:bCs/>
          <w:lang w:val="en-US"/>
        </w:rPr>
        <w:t xml:space="preserve"> </w:t>
      </w:r>
      <w:r w:rsidRPr="00347D76">
        <w:rPr>
          <w:bCs/>
          <w:lang w:val="en-US"/>
        </w:rPr>
        <w:fldChar w:fldCharType="begin" w:fldLock="1"/>
      </w:r>
      <w:r w:rsidR="00222263" w:rsidRPr="00347D76">
        <w:rPr>
          <w:bCs/>
          <w:lang w:val="en-US"/>
        </w:rPr>
        <w:instrText>ADDIN CSL_CITATION {"citationItems":[{"id":"ITEM-1","itemData":{"DOI":"10.1039/C5AN00874C","ISBN":"1364-5528","ISSN":"0003-2654","PMID":"26087169","abstract":"In this paper, we present a smartphone-readable barcode assay for the qualitative detection of methyl parathion residues, a toxic organophosphorus pesticide that is popularly used in agriculture worldwide. The detection principle is based on the irreversible inhibition of the enzymatic activity of acetylcholinesterase (AchE) by methyl parathion; AchE catalytically hydrolyzes acetylthiocholine iodine to thiocholine that in turn dissociates dithiobis-nitrobenzoate to produce a yellow product (deprotonated thio-nitrobenzoate). The yellow intensity of the product was confirmed to be inversely dependent on the concentration of the pesticide. We have designed a barcode-formatted assay chip by using a PDMS (polydimethylsiloxane) channel plate (as the reaction reservoir), situated under a printed partial barcode, to complete the whole barcode such that it can be directly read by a barcode scanning app installed on a smartphone. The app is able to qualitatively present the result of the pesticide test; the absence or a low concentration of methyl parathion results in the barcode reading as \"-\", identifying the test as negative for pesticides. Upon obtaining a positive result (the app reads a \"+\" character), the captured image can be further analyzed to quantitate the methyl parathion concentration in the sample. Besides the portability and simplicity, this mobile-app based colorimetric barcode assay compares favorably with the standard spectrophotometric method.","author":[{"dropping-particle":"","family":"Guo","given":"Juan","non-dropping-particle":"","parse-names":false,"suffix":""},{"dropping-particle":"","family":"Wong","given":"Jessica X. H.","non-dropping-particle":"","parse-names":false,"suffix":""},{"dropping-particle":"","family":"Cui","given":"Caie","non-dropping-particle":"","parse-names":false,"suffix":""},{"dropping-particle":"","family":"Li","given":"Xiaochun","non-dropping-particle":"","parse-names":false,"suffix":""},{"dropping-particle":"","family":"Yu","given":"Hua-Zhong","non-dropping-particle":"","parse-names":false,"suffix":""}],"container-title":"The Analyst","id":"ITEM-1","issue":"16","issued":{"date-parts":[["2015"]]},"page":"5518-5525","publisher":"Royal Society of Chemistry","title":"A smartphone-readable barcode assay for the detection and quantitation of pesticide residues","type":"article-journal","volume":"140"},"uris":["http://www.mendeley.com/documents/?uuid=3488c27f-7b24-4657-b508-abbd293ff7a9"]}],"mendeley":{"formattedCitation":"[15]","plainTextFormattedCitation":"[15]","previouslyFormattedCitation":"[14]"},"properties":{"noteIndex":0},"schema":"https://github.com/citation-style-language/schema/raw/master/csl-citation.json"}</w:instrText>
      </w:r>
      <w:r w:rsidRPr="00347D76">
        <w:rPr>
          <w:bCs/>
          <w:lang w:val="en-US"/>
        </w:rPr>
        <w:fldChar w:fldCharType="separate"/>
      </w:r>
      <w:r w:rsidR="00222263" w:rsidRPr="00347D76">
        <w:rPr>
          <w:bCs/>
          <w:noProof/>
          <w:lang w:val="en-US"/>
        </w:rPr>
        <w:t>[15]</w:t>
      </w:r>
      <w:r w:rsidRPr="00347D76">
        <w:rPr>
          <w:bCs/>
          <w:lang w:val="en-US"/>
        </w:rPr>
        <w:fldChar w:fldCharType="end"/>
      </w:r>
      <w:r w:rsidR="0008444F" w:rsidRPr="00347D76">
        <w:rPr>
          <w:bCs/>
          <w:lang w:val="en-US"/>
        </w:rPr>
        <w:t>. Except the smartphone readout, one should always keep in mind the importance of developing rugged and sensitive POC diagnostics. In fact, there were cases in which insufficient validation was noticed or the performance in matrix was significantly decreased</w:t>
      </w:r>
      <w:r w:rsidRPr="00347D76">
        <w:rPr>
          <w:bCs/>
          <w:lang w:val="en-US"/>
        </w:rPr>
        <w:t xml:space="preserve">. More about this problem can be found in our publication </w:t>
      </w:r>
      <w:r w:rsidRPr="00347D76">
        <w:rPr>
          <w:bCs/>
          <w:lang w:val="en-US"/>
        </w:rPr>
        <w:fldChar w:fldCharType="begin" w:fldLock="1"/>
      </w:r>
      <w:r w:rsidR="00222263" w:rsidRPr="00347D76">
        <w:rPr>
          <w:bCs/>
          <w:lang w:val="en-US"/>
        </w:rPr>
        <w:instrText>ADDIN CSL_CITATION {"citationItems":[{"id":"ITEM-1","itemData":{"DOI":"https://doi.org/10.1016/j.trac.2019.115688","ISSN":"0165-9936","abstract":"Food contaminants monitoring is conducted in an intensive manner yet, there are still food safety scandals related to various chemical compounds. This fact highlights the need to review the requirements posed by the current legal framework on analytical methods performance and evaluate its application in published studies. Herein, we present an inventory including more than 470 publications on screening and confirmatory methods, which were used to control hazardous compounds such as pesticides, antibiotics, mycotoxins, aquatic toxins and allergens. Analytical performance characteristics, trends and state of the art, both merits and shortcomings, are critically discussed and summarized in excel tabulations. This repository highlights the ever-increasing use of screening methods and the necessity to confirm their performance by applying confirmatory methods. In conclusion, more effort is needed on validation and benchmarking, especially of newly developed technology such as smartphone-based methods, to avoid false-negative results and ensure that methods fit for purpose.","author":[{"dropping-particle":"","family":"Tsagkaris","given":"A S","non-dropping-particle":"","parse-names":false,"suffix":""},{"dropping-particle":"","family":"Nelis","given":"J L D","non-dropping-particle":"","parse-names":false,"suffix":""},{"dropping-particle":"","family":"Ross","given":"G M S","non-dropping-particle":"","parse-names":false,"suffix":""},{"dropping-particle":"","family":"Jafari","given":"S","non-dropping-particle":"","parse-names":false,"suffix":""},{"dropping-particle":"","family":"Guercetti","given":"J","non-dropping-particle":"","parse-names":false,"suffix":""},{"dropping-particle":"","family":"Kopper","given":"K","non-dropping-particle":"","parse-names":false,"suffix":""},{"dropping-particle":"","family":"Zhao","given":"Y","non-dropping-particle":"","parse-names":false,"suffix":""},{"dropping-particle":"","family":"Rafferty","given":"K","non-dropping-particle":"","parse-names":false,"suffix":""},{"dropping-particle":"","family":"Salvador","given":"J P","non-dropping-particle":"","parse-names":false,"suffix":""},{"dropping-particle":"","family":"Migliorelli","given":"D","non-dropping-particle":"","parse-names":false,"suffix":""},{"dropping-particle":"","family":"Salentijn","given":"G I J","non-dropping-particle":"","parse-names":false,"suffix":""},{"dropping-particle":"","family":"Campbell","given":"K","non-dropping-particle":"","parse-names":false,"suffix":""},{"dropping-particle":"","family":"Marco","given":"M P","non-dropping-particle":"","parse-names":false,"suffix":""},{"dropping-particle":"","family":"Elliot","given":"C T","non-dropping-particle":"","parse-names":false,"suffix":""},{"dropping-particle":"","family":"Nielen","given":"M W F","non-dropping-particle":"","parse-names":false,"suffix":""},{"dropping-particle":"","family":"Pulkrabova","given":"J","non-dropping-particle":"","parse-names":false,"suffix":""},{"dropping-particle":"","family":"Hajslova","given":"J","non-dropping-particle":"","parse-names":false,"suffix":""}],"container-title":"TrAC Trends in Analytical Chemistry","id":"ITEM-1","issued":{"date-parts":[["2019"]]},"page":"115688","title":"Critical assessment of recent trends related to screening and confirmatory analytical methods for selected food contaminants and allergens","type":"article-journal"},"uris":["http://www.mendeley.com/documents/?uuid=cc878f80-cde4-4a3c-969e-b2f074dd5a47"]}],"mendeley":{"formattedCitation":"[16]","plainTextFormattedCitation":"[16]","previouslyFormattedCitation":"[15]"},"properties":{"noteIndex":0},"schema":"https://github.com/citation-style-language/schema/raw/master/csl-citation.json"}</w:instrText>
      </w:r>
      <w:r w:rsidRPr="00347D76">
        <w:rPr>
          <w:bCs/>
          <w:lang w:val="en-US"/>
        </w:rPr>
        <w:fldChar w:fldCharType="separate"/>
      </w:r>
      <w:r w:rsidR="00222263" w:rsidRPr="00347D76">
        <w:rPr>
          <w:bCs/>
          <w:noProof/>
          <w:lang w:val="en-US"/>
        </w:rPr>
        <w:t>[16]</w:t>
      </w:r>
      <w:r w:rsidRPr="00347D76">
        <w:rPr>
          <w:bCs/>
          <w:lang w:val="en-US"/>
        </w:rPr>
        <w:fldChar w:fldCharType="end"/>
      </w:r>
      <w:r w:rsidR="0008444F" w:rsidRPr="00347D76">
        <w:rPr>
          <w:bCs/>
          <w:lang w:val="en-US"/>
        </w:rPr>
        <w:t xml:space="preserve">. </w:t>
      </w:r>
    </w:p>
    <w:bookmarkEnd w:id="0"/>
    <w:bookmarkEnd w:id="1"/>
    <w:p w14:paraId="53F8EA14" w14:textId="77777777" w:rsidR="00747C4C" w:rsidRPr="00347D76" w:rsidRDefault="00747C4C" w:rsidP="00C50B64">
      <w:pPr>
        <w:widowControl/>
        <w:overflowPunct/>
        <w:autoSpaceDE/>
        <w:autoSpaceDN/>
        <w:adjustRightInd/>
        <w:spacing w:line="276" w:lineRule="auto"/>
        <w:jc w:val="both"/>
        <w:textAlignment w:val="auto"/>
        <w:rPr>
          <w:sz w:val="28"/>
          <w:szCs w:val="28"/>
          <w:u w:val="single"/>
          <w:lang w:val="en-US"/>
        </w:rPr>
      </w:pPr>
    </w:p>
    <w:p w14:paraId="5E3E259D" w14:textId="28C62151" w:rsidR="003518E3" w:rsidRPr="00347D76" w:rsidRDefault="003518E3" w:rsidP="00C50B64">
      <w:pPr>
        <w:widowControl/>
        <w:overflowPunct/>
        <w:autoSpaceDE/>
        <w:autoSpaceDN/>
        <w:adjustRightInd/>
        <w:spacing w:line="276" w:lineRule="auto"/>
        <w:jc w:val="both"/>
        <w:textAlignment w:val="auto"/>
        <w:rPr>
          <w:sz w:val="28"/>
          <w:szCs w:val="28"/>
          <w:u w:val="single"/>
          <w:lang w:val="en-US"/>
        </w:rPr>
      </w:pPr>
      <w:r w:rsidRPr="00347D76">
        <w:rPr>
          <w:sz w:val="28"/>
          <w:szCs w:val="28"/>
          <w:u w:val="single"/>
          <w:lang w:val="en-US"/>
        </w:rPr>
        <w:t>References</w:t>
      </w:r>
    </w:p>
    <w:p w14:paraId="2D47F28A" w14:textId="043ED694" w:rsidR="00222263" w:rsidRPr="00347D76" w:rsidRDefault="004B58B3" w:rsidP="00C50B64">
      <w:pPr>
        <w:ind w:left="640" w:hanging="640"/>
        <w:jc w:val="both"/>
        <w:rPr>
          <w:noProof/>
          <w:sz w:val="20"/>
          <w:szCs w:val="24"/>
          <w:lang w:val="en-US"/>
        </w:rPr>
      </w:pPr>
      <w:r w:rsidRPr="00347D76">
        <w:rPr>
          <w:sz w:val="20"/>
          <w:u w:val="single"/>
          <w:lang w:val="en-US"/>
        </w:rPr>
        <w:fldChar w:fldCharType="begin" w:fldLock="1"/>
      </w:r>
      <w:r w:rsidRPr="00347D76">
        <w:rPr>
          <w:sz w:val="20"/>
          <w:u w:val="single"/>
          <w:lang w:val="en-US"/>
        </w:rPr>
        <w:instrText xml:space="preserve">ADDIN Mendeley Bibliography CSL_BIBLIOGRAPHY </w:instrText>
      </w:r>
      <w:r w:rsidRPr="00347D76">
        <w:rPr>
          <w:sz w:val="20"/>
          <w:u w:val="single"/>
          <w:lang w:val="en-US"/>
        </w:rPr>
        <w:fldChar w:fldCharType="separate"/>
      </w:r>
      <w:r w:rsidR="00222263" w:rsidRPr="00347D76">
        <w:rPr>
          <w:noProof/>
          <w:sz w:val="20"/>
          <w:szCs w:val="24"/>
          <w:lang w:val="en-US"/>
        </w:rPr>
        <w:t>[1]</w:t>
      </w:r>
      <w:r w:rsidR="00222263" w:rsidRPr="00347D76">
        <w:rPr>
          <w:noProof/>
          <w:sz w:val="20"/>
          <w:szCs w:val="24"/>
          <w:lang w:val="en-US"/>
        </w:rPr>
        <w:tab/>
        <w:t>L. Wu, G. Li, X. Xu, L. Zhu, R. Huang, X. Chen, Application of nano-ELISA in food analysis: Recent advances and challenges, TrAC Trends Anal. Chem. 113 (2019) 140–156. https://doi.org/https://doi.org/10.1016/j.trac.2019.02.002.</w:t>
      </w:r>
    </w:p>
    <w:p w14:paraId="3C305C3E" w14:textId="77777777" w:rsidR="00222263" w:rsidRPr="00347D76" w:rsidRDefault="00222263" w:rsidP="00C50B64">
      <w:pPr>
        <w:ind w:left="640" w:hanging="640"/>
        <w:jc w:val="both"/>
        <w:rPr>
          <w:noProof/>
          <w:sz w:val="20"/>
          <w:szCs w:val="24"/>
          <w:lang w:val="en-US"/>
        </w:rPr>
      </w:pPr>
      <w:r w:rsidRPr="00347D76">
        <w:rPr>
          <w:noProof/>
          <w:sz w:val="20"/>
          <w:szCs w:val="24"/>
          <w:lang w:val="en-US"/>
        </w:rPr>
        <w:t>[2]</w:t>
      </w:r>
      <w:r w:rsidRPr="00347D76">
        <w:rPr>
          <w:noProof/>
          <w:sz w:val="20"/>
          <w:szCs w:val="24"/>
          <w:lang w:val="en-US"/>
        </w:rPr>
        <w:tab/>
        <w:t>E. Halámek, Z. Kobliha, V. Pitschmann, Analysis of chemical warfare agents, Univerzita obrany, 2009.</w:t>
      </w:r>
    </w:p>
    <w:p w14:paraId="264F94A3" w14:textId="77777777" w:rsidR="00222263" w:rsidRPr="00347D76" w:rsidRDefault="00222263" w:rsidP="00C50B64">
      <w:pPr>
        <w:ind w:left="640" w:hanging="640"/>
        <w:jc w:val="both"/>
        <w:rPr>
          <w:noProof/>
          <w:sz w:val="20"/>
          <w:szCs w:val="24"/>
          <w:lang w:val="en-US"/>
        </w:rPr>
      </w:pPr>
      <w:r w:rsidRPr="00347D76">
        <w:rPr>
          <w:noProof/>
          <w:sz w:val="20"/>
          <w:szCs w:val="24"/>
          <w:lang w:val="en-US"/>
        </w:rPr>
        <w:t>[3]</w:t>
      </w:r>
      <w:r w:rsidRPr="00347D76">
        <w:rPr>
          <w:noProof/>
          <w:sz w:val="20"/>
          <w:szCs w:val="24"/>
          <w:lang w:val="en-US"/>
        </w:rPr>
        <w:tab/>
        <w:t>X. Yang, J. Dai, L. Yang, M. Ma, S.-J. Zhao, X.-G. Chen, H. Xiao, Oxidation pretreatment by calcium hypochlorite to improve the sensitivity of enzyme inhibition-based detection of organophosphorus pesticides, J. Sci. Food Agric. 98 (2018) 2624–2631. https://doi.org/10.1002/jsfa.8755.</w:t>
      </w:r>
    </w:p>
    <w:p w14:paraId="5605EA16" w14:textId="77777777" w:rsidR="00222263" w:rsidRPr="00347D76" w:rsidRDefault="00222263" w:rsidP="00C50B64">
      <w:pPr>
        <w:ind w:left="640" w:hanging="640"/>
        <w:jc w:val="both"/>
        <w:rPr>
          <w:noProof/>
          <w:sz w:val="20"/>
          <w:szCs w:val="24"/>
          <w:lang w:val="en-US"/>
        </w:rPr>
      </w:pPr>
      <w:r w:rsidRPr="00347D76">
        <w:rPr>
          <w:noProof/>
          <w:sz w:val="20"/>
          <w:szCs w:val="24"/>
          <w:lang w:val="en-US"/>
        </w:rPr>
        <w:t>[4]</w:t>
      </w:r>
      <w:r w:rsidRPr="00347D76">
        <w:rPr>
          <w:noProof/>
          <w:sz w:val="20"/>
          <w:szCs w:val="24"/>
          <w:lang w:val="en-US"/>
        </w:rPr>
        <w:tab/>
        <w:t>M. Pohanka, J. Zdarova Karasova, K. Kuca, J. Pikula, Multichannel spectrophotometry for analysis of organophosphate paraoxon in beverages, Turkish J. Chem. 34 (2010) 91–98. https://doi.org/10.3906/kim-0903-7.</w:t>
      </w:r>
    </w:p>
    <w:p w14:paraId="3BF222A9" w14:textId="77777777" w:rsidR="00222263" w:rsidRPr="00347D76" w:rsidRDefault="00222263" w:rsidP="00C50B64">
      <w:pPr>
        <w:ind w:left="640" w:hanging="640"/>
        <w:jc w:val="both"/>
        <w:rPr>
          <w:noProof/>
          <w:sz w:val="20"/>
          <w:szCs w:val="24"/>
          <w:lang w:val="en-US"/>
        </w:rPr>
      </w:pPr>
      <w:r w:rsidRPr="00347D76">
        <w:rPr>
          <w:noProof/>
          <w:sz w:val="20"/>
          <w:szCs w:val="24"/>
          <w:lang w:val="en-US"/>
        </w:rPr>
        <w:t>[5]</w:t>
      </w:r>
      <w:r w:rsidRPr="00347D76">
        <w:rPr>
          <w:noProof/>
          <w:sz w:val="20"/>
          <w:szCs w:val="24"/>
          <w:lang w:val="en-US"/>
        </w:rPr>
        <w:tab/>
        <w:t>J.H. Soh, H.-M. Chan, J.Y. Ying, Strategies for developing sensitive and specific nanoparticle-based lateral flow assays as point-of-care diagnostic device, Nano Today. (2020) 100831.</w:t>
      </w:r>
    </w:p>
    <w:p w14:paraId="532890F9" w14:textId="77777777" w:rsidR="00222263" w:rsidRPr="00347D76" w:rsidRDefault="00222263" w:rsidP="00C50B64">
      <w:pPr>
        <w:ind w:left="640" w:hanging="640"/>
        <w:jc w:val="both"/>
        <w:rPr>
          <w:noProof/>
          <w:sz w:val="20"/>
          <w:szCs w:val="24"/>
          <w:lang w:val="en-US"/>
        </w:rPr>
      </w:pPr>
      <w:r w:rsidRPr="00347D76">
        <w:rPr>
          <w:noProof/>
          <w:sz w:val="20"/>
          <w:szCs w:val="24"/>
          <w:lang w:val="en-US"/>
        </w:rPr>
        <w:t>[6]</w:t>
      </w:r>
      <w:r w:rsidRPr="00347D76">
        <w:rPr>
          <w:noProof/>
          <w:sz w:val="20"/>
          <w:szCs w:val="24"/>
          <w:lang w:val="en-US"/>
        </w:rPr>
        <w:tab/>
        <w:t>M.Y.-C. Wu, M.-Y. Hsu, S.-J. Chen, D.-K. Hwang, T.-H. Yen, C.-M. Cheng, Point-of-Care Detection Devices for Food Safety Monitoring: Proactive Disease Prevention, Trends Biotechnol. 35 (2017) 288–300. https://doi.org/10.1016/j.tibtech.2016.12.005.</w:t>
      </w:r>
    </w:p>
    <w:p w14:paraId="564E89A8" w14:textId="77777777" w:rsidR="00222263" w:rsidRPr="00347D76" w:rsidRDefault="00222263" w:rsidP="00C50B64">
      <w:pPr>
        <w:ind w:left="640" w:hanging="640"/>
        <w:jc w:val="both"/>
        <w:rPr>
          <w:noProof/>
          <w:sz w:val="20"/>
          <w:szCs w:val="24"/>
          <w:lang w:val="en-US"/>
        </w:rPr>
      </w:pPr>
      <w:r w:rsidRPr="00347D76">
        <w:rPr>
          <w:noProof/>
          <w:sz w:val="20"/>
          <w:szCs w:val="24"/>
          <w:lang w:val="en-US"/>
        </w:rPr>
        <w:t>[7]</w:t>
      </w:r>
      <w:r w:rsidRPr="00347D76">
        <w:rPr>
          <w:noProof/>
          <w:sz w:val="20"/>
          <w:szCs w:val="24"/>
          <w:lang w:val="en-US"/>
        </w:rPr>
        <w:tab/>
        <w:t>S. Kumar, M. Nehra, J. Mehta, N. Dilbaghi, G. Marrazza, A. Kaushik, Point-of-Care Strategies for Detection of Waterborne Pathogens, Sensors . 19 (2019). https://doi.org/10.3390/s19204476.</w:t>
      </w:r>
    </w:p>
    <w:p w14:paraId="1E03CCC6" w14:textId="77777777" w:rsidR="00222263" w:rsidRPr="00347D76" w:rsidRDefault="00222263" w:rsidP="00C50B64">
      <w:pPr>
        <w:ind w:left="640" w:hanging="640"/>
        <w:jc w:val="both"/>
        <w:rPr>
          <w:noProof/>
          <w:sz w:val="20"/>
          <w:szCs w:val="24"/>
          <w:lang w:val="en-US"/>
        </w:rPr>
      </w:pPr>
      <w:r w:rsidRPr="00347D76">
        <w:rPr>
          <w:noProof/>
          <w:sz w:val="20"/>
          <w:szCs w:val="24"/>
          <w:lang w:val="en-US"/>
        </w:rPr>
        <w:t>[8]</w:t>
      </w:r>
      <w:r w:rsidRPr="00347D76">
        <w:rPr>
          <w:noProof/>
          <w:sz w:val="20"/>
          <w:szCs w:val="24"/>
          <w:lang w:val="en-US"/>
        </w:rPr>
        <w:tab/>
        <w:t>K.M. Koczula, A. Gallotta, Lateral flow assays, Essays Biochem. 60 (2016) 111–120. https://doi.org/10.1042/EBC20150012.</w:t>
      </w:r>
    </w:p>
    <w:p w14:paraId="12D37A22" w14:textId="77777777" w:rsidR="00222263" w:rsidRPr="00347D76" w:rsidRDefault="00222263" w:rsidP="00C50B64">
      <w:pPr>
        <w:ind w:left="640" w:hanging="640"/>
        <w:jc w:val="both"/>
        <w:rPr>
          <w:noProof/>
          <w:sz w:val="20"/>
          <w:szCs w:val="24"/>
          <w:lang w:val="en-US"/>
        </w:rPr>
      </w:pPr>
      <w:r w:rsidRPr="00347D76">
        <w:rPr>
          <w:noProof/>
          <w:sz w:val="20"/>
          <w:szCs w:val="24"/>
          <w:lang w:val="en-US"/>
        </w:rPr>
        <w:t>[9]</w:t>
      </w:r>
      <w:r w:rsidRPr="00347D76">
        <w:rPr>
          <w:noProof/>
          <w:sz w:val="20"/>
          <w:szCs w:val="24"/>
          <w:lang w:val="en-US"/>
        </w:rPr>
        <w:tab/>
        <w:t>M.J. Raeisossadati, N.M. Danesh, F. Borna, M. Gholamzad, M. Ramezani, K. Abnous, S.M. Taghdisi, Lateral flow based immunobiosensors for detection of food contaminants, Biosens. Bioelectron. 86 (2016) 235–246. https://doi.org/https://doi.org/10.1016/j.bios.2016.06.061.</w:t>
      </w:r>
    </w:p>
    <w:p w14:paraId="560138A7" w14:textId="77777777" w:rsidR="00222263" w:rsidRPr="00347D76" w:rsidRDefault="00222263" w:rsidP="00C50B64">
      <w:pPr>
        <w:ind w:left="640" w:hanging="640"/>
        <w:jc w:val="both"/>
        <w:rPr>
          <w:noProof/>
          <w:sz w:val="20"/>
          <w:szCs w:val="24"/>
          <w:lang w:val="en-US"/>
        </w:rPr>
      </w:pPr>
      <w:r w:rsidRPr="00347D76">
        <w:rPr>
          <w:noProof/>
          <w:sz w:val="20"/>
          <w:szCs w:val="24"/>
          <w:lang w:val="en-US"/>
        </w:rPr>
        <w:t>[10]</w:t>
      </w:r>
      <w:r w:rsidRPr="00347D76">
        <w:rPr>
          <w:noProof/>
          <w:sz w:val="20"/>
          <w:szCs w:val="24"/>
          <w:lang w:val="en-US"/>
        </w:rPr>
        <w:tab/>
        <w:t>C.I.L. Justino, A.C. Freitas, R. Pereira, A.C. Duarte, T.A.P.R. Santos, Recent developments in recognition elements for chemical sensors and biosensors, TrAC Trends Anal. Chem. 68 (2015) 2–17.</w:t>
      </w:r>
    </w:p>
    <w:p w14:paraId="07E73164" w14:textId="77777777" w:rsidR="00222263" w:rsidRPr="00347D76" w:rsidRDefault="00222263" w:rsidP="00C50B64">
      <w:pPr>
        <w:ind w:left="640" w:hanging="640"/>
        <w:jc w:val="both"/>
        <w:rPr>
          <w:noProof/>
          <w:sz w:val="20"/>
          <w:szCs w:val="24"/>
          <w:lang w:val="en-US"/>
        </w:rPr>
      </w:pPr>
      <w:r w:rsidRPr="00347D76">
        <w:rPr>
          <w:noProof/>
          <w:sz w:val="20"/>
          <w:szCs w:val="24"/>
          <w:lang w:val="en-US"/>
        </w:rPr>
        <w:t>[11]</w:t>
      </w:r>
      <w:r w:rsidRPr="00347D76">
        <w:rPr>
          <w:noProof/>
          <w:sz w:val="20"/>
          <w:szCs w:val="24"/>
          <w:lang w:val="en-US"/>
        </w:rPr>
        <w:tab/>
        <w:t>E.W. Nery, L.T. Kubota, Evaluation of enzyme immobilization methods for paper-based devices—A glucose oxidase study, J. Pharm. Biomed. Anal. 117 (2016) 551–559. https://doi.org/https://doi.org/10.1016/j.jpba.2015.08.041.</w:t>
      </w:r>
    </w:p>
    <w:p w14:paraId="4B5E912F" w14:textId="77777777" w:rsidR="00222263" w:rsidRPr="00347D76" w:rsidRDefault="00222263" w:rsidP="00C50B64">
      <w:pPr>
        <w:ind w:left="640" w:hanging="640"/>
        <w:jc w:val="both"/>
        <w:rPr>
          <w:noProof/>
          <w:sz w:val="20"/>
          <w:szCs w:val="24"/>
          <w:lang w:val="en-US"/>
        </w:rPr>
      </w:pPr>
      <w:r w:rsidRPr="00347D76">
        <w:rPr>
          <w:noProof/>
          <w:sz w:val="20"/>
          <w:szCs w:val="24"/>
          <w:lang w:val="en-US"/>
        </w:rPr>
        <w:t>[12]</w:t>
      </w:r>
      <w:r w:rsidRPr="00347D76">
        <w:rPr>
          <w:noProof/>
          <w:sz w:val="20"/>
          <w:szCs w:val="24"/>
          <w:lang w:val="en-US"/>
        </w:rPr>
        <w:tab/>
        <w:t>I. Gibson, D.W. Rosen, B. Stucker, Additive manufacturing technologies, Springer, 2014.</w:t>
      </w:r>
    </w:p>
    <w:p w14:paraId="05F49956" w14:textId="77777777" w:rsidR="00222263" w:rsidRPr="00347D76" w:rsidRDefault="00222263" w:rsidP="00C50B64">
      <w:pPr>
        <w:ind w:left="640" w:hanging="640"/>
        <w:jc w:val="both"/>
        <w:rPr>
          <w:noProof/>
          <w:sz w:val="20"/>
          <w:szCs w:val="24"/>
          <w:lang w:val="en-US"/>
        </w:rPr>
      </w:pPr>
      <w:r w:rsidRPr="00347D76">
        <w:rPr>
          <w:noProof/>
          <w:sz w:val="20"/>
          <w:szCs w:val="24"/>
          <w:lang w:val="en-US"/>
        </w:rPr>
        <w:t>[13]</w:t>
      </w:r>
      <w:r w:rsidRPr="00347D76">
        <w:rPr>
          <w:noProof/>
          <w:sz w:val="20"/>
          <w:szCs w:val="24"/>
          <w:lang w:val="en-US"/>
        </w:rPr>
        <w:tab/>
        <w:t>J. Nelis, C. Elliott, K. Campbell, “The Smartphone’s Guide to the Galaxy”: In Situ Analysis in Space, Biosensors. 8 (2018) 96.</w:t>
      </w:r>
    </w:p>
    <w:p w14:paraId="13AB22E1" w14:textId="77777777" w:rsidR="00222263" w:rsidRPr="00347D76" w:rsidRDefault="00222263" w:rsidP="00C50B64">
      <w:pPr>
        <w:ind w:left="640" w:hanging="640"/>
        <w:jc w:val="both"/>
        <w:rPr>
          <w:noProof/>
          <w:sz w:val="20"/>
          <w:szCs w:val="24"/>
          <w:lang w:val="en-US"/>
        </w:rPr>
      </w:pPr>
      <w:r w:rsidRPr="00347D76">
        <w:rPr>
          <w:noProof/>
          <w:sz w:val="20"/>
          <w:szCs w:val="24"/>
          <w:lang w:val="en-US"/>
        </w:rPr>
        <w:t>[14]</w:t>
      </w:r>
      <w:r w:rsidRPr="00347D76">
        <w:rPr>
          <w:noProof/>
          <w:sz w:val="20"/>
          <w:szCs w:val="24"/>
          <w:lang w:val="en-US"/>
        </w:rPr>
        <w:tab/>
        <w:t>J.L.D. Nelis, A.S. Tsagkaris, M.J. Dillon, J. Hajslova, C.T. Elliott, Smartphone-based optical assays in the food safety field, TrAC Trends Anal. Chem. 129 (2020) 115934. https://doi.org/https://doi.org/10.1016/j.trac.2020.115934.</w:t>
      </w:r>
    </w:p>
    <w:p w14:paraId="2765D2C7" w14:textId="77777777" w:rsidR="00222263" w:rsidRPr="00347D76" w:rsidRDefault="00222263" w:rsidP="00C50B64">
      <w:pPr>
        <w:ind w:left="640" w:hanging="640"/>
        <w:jc w:val="both"/>
        <w:rPr>
          <w:noProof/>
          <w:sz w:val="20"/>
          <w:szCs w:val="24"/>
          <w:lang w:val="en-US"/>
        </w:rPr>
      </w:pPr>
      <w:r w:rsidRPr="00347D76">
        <w:rPr>
          <w:noProof/>
          <w:sz w:val="20"/>
          <w:szCs w:val="24"/>
          <w:lang w:val="en-US"/>
        </w:rPr>
        <w:t>[15]</w:t>
      </w:r>
      <w:r w:rsidRPr="00347D76">
        <w:rPr>
          <w:noProof/>
          <w:sz w:val="20"/>
          <w:szCs w:val="24"/>
          <w:lang w:val="en-US"/>
        </w:rPr>
        <w:tab/>
        <w:t>J. Guo, J.X.H. Wong, C. Cui, X. Li, H.-Z. Yu, A smartphone-readable barcode assay for the detection and quantitation of pesticide residues, Analyst. 140 (2015) 5518–5525. https://doi.org/10.1039/C5AN00874C.</w:t>
      </w:r>
    </w:p>
    <w:p w14:paraId="0853E940" w14:textId="77777777" w:rsidR="00222263" w:rsidRPr="00347D76" w:rsidRDefault="00222263" w:rsidP="00C50B64">
      <w:pPr>
        <w:ind w:left="640" w:hanging="640"/>
        <w:jc w:val="both"/>
        <w:rPr>
          <w:noProof/>
          <w:sz w:val="20"/>
          <w:lang w:val="en-US"/>
        </w:rPr>
      </w:pPr>
      <w:r w:rsidRPr="00347D76">
        <w:rPr>
          <w:noProof/>
          <w:sz w:val="20"/>
          <w:szCs w:val="24"/>
          <w:lang w:val="en-US"/>
        </w:rPr>
        <w:t>[16]</w:t>
      </w:r>
      <w:r w:rsidRPr="00347D76">
        <w:rPr>
          <w:noProof/>
          <w:sz w:val="20"/>
          <w:szCs w:val="24"/>
          <w:lang w:val="en-US"/>
        </w:rPr>
        <w:tab/>
        <w:t>A.S. Tsagkaris, J.L.D. Nelis, G.M.S. Ross, S. Jafari, J. Guercetti, K. Kopper, Y. Zhao, K. Rafferty, J.P. Salvador, D. Migliorelli, G.I.J. Salentijn, K. Campbell, M.P. Marco, C.T. Elliot, M.W.F. Nielen, J. Pulkrabova, J. Hajslova, Critical assessment of recent trends related to screening and confirmatory analytical methods for selected food contaminants and allergens, TrAC Trends Anal. Chem. (2019) 115688. https://doi.org/https://doi.org/10.1016/j.trac.2019.115688.</w:t>
      </w:r>
    </w:p>
    <w:p w14:paraId="3AC481A4" w14:textId="77777777" w:rsidR="00B72952" w:rsidRPr="00347D76" w:rsidRDefault="004B58B3" w:rsidP="00C50B64">
      <w:pPr>
        <w:widowControl/>
        <w:overflowPunct/>
        <w:autoSpaceDE/>
        <w:autoSpaceDN/>
        <w:adjustRightInd/>
        <w:spacing w:line="276" w:lineRule="auto"/>
        <w:jc w:val="both"/>
        <w:textAlignment w:val="auto"/>
        <w:rPr>
          <w:sz w:val="20"/>
          <w:u w:val="single"/>
          <w:lang w:val="en-US"/>
        </w:rPr>
      </w:pPr>
      <w:r w:rsidRPr="00347D76">
        <w:rPr>
          <w:sz w:val="20"/>
          <w:u w:val="single"/>
          <w:lang w:val="en-US"/>
        </w:rPr>
        <w:fldChar w:fldCharType="end"/>
      </w:r>
    </w:p>
    <w:p w14:paraId="4E268379" w14:textId="6B3DBE90" w:rsidR="00CE73E5" w:rsidRPr="00347D76" w:rsidRDefault="0066678D" w:rsidP="00C50B64">
      <w:pPr>
        <w:pStyle w:val="Heading1"/>
        <w:jc w:val="both"/>
        <w:rPr>
          <w:lang w:val="en-US"/>
        </w:rPr>
      </w:pPr>
      <w:r w:rsidRPr="00347D76">
        <w:rPr>
          <w:lang w:val="en-US"/>
        </w:rPr>
        <w:t>EXPERIMENTAL PART</w:t>
      </w:r>
    </w:p>
    <w:p w14:paraId="593B81EF" w14:textId="77777777" w:rsidR="00DB4B61" w:rsidRPr="00347D76" w:rsidRDefault="00DB4B61" w:rsidP="00C50B64">
      <w:pPr>
        <w:spacing w:line="276" w:lineRule="auto"/>
        <w:jc w:val="both"/>
        <w:rPr>
          <w:lang w:val="en-US"/>
        </w:rPr>
      </w:pPr>
      <w:bookmarkStart w:id="3" w:name="OLE_LINK1"/>
      <w:bookmarkStart w:id="4" w:name="OLE_LINK2"/>
      <w:bookmarkStart w:id="5" w:name="OLE_LINK3"/>
    </w:p>
    <w:p w14:paraId="5AF49A65" w14:textId="5851EFD2" w:rsidR="00DB4B61" w:rsidRPr="00347D76" w:rsidRDefault="00460589" w:rsidP="00C50B64">
      <w:pPr>
        <w:spacing w:line="276" w:lineRule="auto"/>
        <w:jc w:val="both"/>
        <w:rPr>
          <w:b/>
          <w:u w:val="single"/>
          <w:lang w:val="en-US"/>
        </w:rPr>
      </w:pPr>
      <w:r w:rsidRPr="00347D76">
        <w:rPr>
          <w:b/>
          <w:u w:val="single"/>
          <w:lang w:val="en-US"/>
        </w:rPr>
        <w:t>Part A. AChE microplate assay</w:t>
      </w:r>
    </w:p>
    <w:p w14:paraId="78D8B4AD" w14:textId="3CEC2EDE" w:rsidR="003518E3" w:rsidRPr="00347D76" w:rsidRDefault="00486625" w:rsidP="00C50B64">
      <w:pPr>
        <w:spacing w:line="276" w:lineRule="auto"/>
        <w:jc w:val="both"/>
        <w:rPr>
          <w:i/>
          <w:lang w:val="en-US"/>
        </w:rPr>
      </w:pPr>
      <w:r w:rsidRPr="00347D76">
        <w:rPr>
          <w:lang w:val="en-US"/>
        </w:rPr>
        <w:tab/>
        <w:t xml:space="preserve">The potential dietary intake of CM and /or OP residues poses a threat for human health due to their neurotoxicity. However, unless sophisticated laboratory instrumentation is available, then controlling residues is in most cases a rather difficult task. On this account, we </w:t>
      </w:r>
      <w:r w:rsidR="00B27563" w:rsidRPr="00347D76">
        <w:rPr>
          <w:lang w:val="en-US"/>
        </w:rPr>
        <w:t xml:space="preserve">developed </w:t>
      </w:r>
      <w:r w:rsidRPr="00347D76">
        <w:rPr>
          <w:lang w:val="en-US"/>
        </w:rPr>
        <w:t xml:space="preserve">a rapid, simple and cost-effective method capable to detect CMs and OPs in food matrices. </w:t>
      </w:r>
      <w:r w:rsidR="00B27563" w:rsidRPr="00347D76">
        <w:rPr>
          <w:lang w:val="en-US"/>
        </w:rPr>
        <w:t>During this exercise</w:t>
      </w:r>
      <w:r w:rsidRPr="00347D76">
        <w:rPr>
          <w:lang w:val="en-US"/>
        </w:rPr>
        <w:t xml:space="preserve">, critical assay parameters such as enzyme substrate </w:t>
      </w:r>
      <w:r w:rsidR="00B27563" w:rsidRPr="00347D76">
        <w:rPr>
          <w:lang w:val="en-US"/>
        </w:rPr>
        <w:t xml:space="preserve">and enzyme specificity towards different inhibitors </w:t>
      </w:r>
      <w:r w:rsidRPr="00347D76">
        <w:rPr>
          <w:lang w:val="en-US"/>
        </w:rPr>
        <w:t xml:space="preserve">were </w:t>
      </w:r>
      <w:r w:rsidR="00B27563" w:rsidRPr="00347D76">
        <w:rPr>
          <w:lang w:val="en-US"/>
        </w:rPr>
        <w:t>tested</w:t>
      </w:r>
      <w:r w:rsidRPr="00347D76">
        <w:rPr>
          <w:lang w:val="en-US"/>
        </w:rPr>
        <w:t xml:space="preserve">.  </w:t>
      </w:r>
    </w:p>
    <w:p w14:paraId="62669366" w14:textId="77777777" w:rsidR="00486625" w:rsidRPr="00347D76" w:rsidRDefault="00486625" w:rsidP="00C50B64">
      <w:pPr>
        <w:spacing w:line="276" w:lineRule="auto"/>
        <w:jc w:val="both"/>
        <w:rPr>
          <w:i/>
          <w:lang w:val="en-US"/>
        </w:rPr>
      </w:pPr>
    </w:p>
    <w:p w14:paraId="0C6009C9" w14:textId="7670D9F5" w:rsidR="003518E3" w:rsidRPr="00347D76" w:rsidRDefault="003518E3" w:rsidP="00C50B64">
      <w:pPr>
        <w:spacing w:line="276" w:lineRule="auto"/>
        <w:jc w:val="both"/>
        <w:rPr>
          <w:i/>
          <w:lang w:val="en-US"/>
        </w:rPr>
      </w:pPr>
      <w:r w:rsidRPr="00347D76">
        <w:rPr>
          <w:i/>
          <w:lang w:val="en-US"/>
        </w:rPr>
        <w:t>Apparatus</w:t>
      </w:r>
      <w:r w:rsidR="00486625" w:rsidRPr="00347D76">
        <w:rPr>
          <w:i/>
          <w:lang w:val="en-US"/>
        </w:rPr>
        <w:t xml:space="preserve"> &amp; Software</w:t>
      </w:r>
    </w:p>
    <w:p w14:paraId="2DF925C5" w14:textId="27BEDBE3" w:rsidR="003518E3" w:rsidRPr="00347D76" w:rsidRDefault="00B72952" w:rsidP="00C50B64">
      <w:pPr>
        <w:pStyle w:val="ListParagraph"/>
        <w:numPr>
          <w:ilvl w:val="0"/>
          <w:numId w:val="24"/>
        </w:numPr>
        <w:spacing w:line="276" w:lineRule="auto"/>
        <w:jc w:val="both"/>
        <w:rPr>
          <w:i/>
          <w:lang w:val="en-US"/>
        </w:rPr>
      </w:pPr>
      <w:r w:rsidRPr="00347D76">
        <w:rPr>
          <w:lang w:val="en-US"/>
        </w:rPr>
        <w:t xml:space="preserve">Absorbance measurement in an Epoch </w:t>
      </w:r>
      <w:proofErr w:type="spellStart"/>
      <w:r w:rsidRPr="00347D76">
        <w:rPr>
          <w:lang w:val="en-US"/>
        </w:rPr>
        <w:t>Biotek</w:t>
      </w:r>
      <w:proofErr w:type="spellEnd"/>
      <w:r w:rsidRPr="00347D76">
        <w:rPr>
          <w:lang w:val="en-US"/>
        </w:rPr>
        <w:t xml:space="preserve"> Reader</w:t>
      </w:r>
    </w:p>
    <w:p w14:paraId="597E0A96" w14:textId="3A22DC93" w:rsidR="002F7EAC" w:rsidRPr="00347D76" w:rsidRDefault="002F7EAC" w:rsidP="00C50B64">
      <w:pPr>
        <w:pStyle w:val="ListParagraph"/>
        <w:numPr>
          <w:ilvl w:val="0"/>
          <w:numId w:val="24"/>
        </w:numPr>
        <w:spacing w:line="276" w:lineRule="auto"/>
        <w:jc w:val="both"/>
        <w:rPr>
          <w:i/>
          <w:lang w:val="en-US"/>
        </w:rPr>
      </w:pPr>
      <w:r w:rsidRPr="00347D76">
        <w:rPr>
          <w:lang w:val="en-US"/>
        </w:rPr>
        <w:t xml:space="preserve">96-microwell plates </w:t>
      </w:r>
    </w:p>
    <w:p w14:paraId="6A0DDF64" w14:textId="3AB544AE" w:rsidR="00B72952" w:rsidRPr="00347D76" w:rsidRDefault="00486625" w:rsidP="00C50B64">
      <w:pPr>
        <w:pStyle w:val="ListParagraph"/>
        <w:numPr>
          <w:ilvl w:val="0"/>
          <w:numId w:val="24"/>
        </w:numPr>
        <w:spacing w:line="276" w:lineRule="auto"/>
        <w:jc w:val="both"/>
        <w:rPr>
          <w:i/>
          <w:lang w:val="en-US"/>
        </w:rPr>
      </w:pPr>
      <w:r w:rsidRPr="00347D76">
        <w:rPr>
          <w:lang w:val="en-US"/>
        </w:rPr>
        <w:t xml:space="preserve">Graph-pad </w:t>
      </w:r>
      <w:r w:rsidR="00C95FB9" w:rsidRPr="00347D76">
        <w:rPr>
          <w:lang w:val="en-US"/>
        </w:rPr>
        <w:t>P</w:t>
      </w:r>
      <w:r w:rsidRPr="00347D76">
        <w:rPr>
          <w:lang w:val="en-US"/>
        </w:rPr>
        <w:t>rism 5.0</w:t>
      </w:r>
    </w:p>
    <w:p w14:paraId="708D3AC5" w14:textId="77777777" w:rsidR="00486625" w:rsidRPr="00347D76" w:rsidRDefault="00486625" w:rsidP="00C50B64">
      <w:pPr>
        <w:spacing w:line="276" w:lineRule="auto"/>
        <w:jc w:val="both"/>
        <w:rPr>
          <w:i/>
          <w:lang w:val="en-US"/>
        </w:rPr>
      </w:pPr>
    </w:p>
    <w:p w14:paraId="4DF98C51" w14:textId="5AC2719B" w:rsidR="008A176F" w:rsidRPr="00347D76" w:rsidRDefault="003518E3" w:rsidP="00C50B64">
      <w:pPr>
        <w:spacing w:line="276" w:lineRule="auto"/>
        <w:jc w:val="both"/>
        <w:rPr>
          <w:i/>
          <w:lang w:val="en-US"/>
        </w:rPr>
      </w:pPr>
      <w:r w:rsidRPr="00347D76">
        <w:rPr>
          <w:i/>
          <w:lang w:val="en-US"/>
        </w:rPr>
        <w:t>Chemicals &amp; Reagents</w:t>
      </w:r>
    </w:p>
    <w:p w14:paraId="420692FA" w14:textId="77777777" w:rsidR="00486625" w:rsidRPr="00347D76" w:rsidRDefault="00486625" w:rsidP="00C50B64">
      <w:pPr>
        <w:pStyle w:val="ListParagraph"/>
        <w:numPr>
          <w:ilvl w:val="0"/>
          <w:numId w:val="25"/>
        </w:numPr>
        <w:spacing w:line="276" w:lineRule="auto"/>
        <w:jc w:val="both"/>
        <w:rPr>
          <w:i/>
          <w:lang w:val="en-US"/>
        </w:rPr>
      </w:pPr>
      <w:r w:rsidRPr="00347D76">
        <w:rPr>
          <w:lang w:val="en-US"/>
        </w:rPr>
        <w:t>Phosphate buffer saline (PBS) tablets</w:t>
      </w:r>
    </w:p>
    <w:p w14:paraId="63B8A36C" w14:textId="11414A8E" w:rsidR="003518E3" w:rsidRPr="00347D76" w:rsidRDefault="00486625" w:rsidP="00C50B64">
      <w:pPr>
        <w:pStyle w:val="ListParagraph"/>
        <w:numPr>
          <w:ilvl w:val="0"/>
          <w:numId w:val="25"/>
        </w:numPr>
        <w:spacing w:line="276" w:lineRule="auto"/>
        <w:jc w:val="both"/>
        <w:rPr>
          <w:i/>
          <w:lang w:val="en-US"/>
        </w:rPr>
      </w:pPr>
      <w:r w:rsidRPr="00347D76">
        <w:rPr>
          <w:lang w:val="en-US"/>
        </w:rPr>
        <w:t xml:space="preserve">AChE from Electrophorus </w:t>
      </w:r>
      <w:proofErr w:type="spellStart"/>
      <w:r w:rsidRPr="00347D76">
        <w:rPr>
          <w:lang w:val="en-US"/>
        </w:rPr>
        <w:t>electricus</w:t>
      </w:r>
      <w:proofErr w:type="spellEnd"/>
      <w:r w:rsidRPr="00347D76">
        <w:rPr>
          <w:lang w:val="en-US"/>
        </w:rPr>
        <w:t>, acetylthiocholine iodide (</w:t>
      </w:r>
      <w:proofErr w:type="spellStart"/>
      <w:r w:rsidRPr="00347D76">
        <w:rPr>
          <w:lang w:val="en-US"/>
        </w:rPr>
        <w:t>AThI</w:t>
      </w:r>
      <w:proofErr w:type="spellEnd"/>
      <w:r w:rsidRPr="00347D76">
        <w:rPr>
          <w:lang w:val="en-US"/>
        </w:rPr>
        <w:t>, purity &gt;99%), 5,5′-dithio bis-2-nitrobenzoic acid (DTNB, purity &gt;99%) indoxyl acetate (IDA, purity &gt;95%), a-naphthyl acetate (α-</w:t>
      </w:r>
      <w:proofErr w:type="spellStart"/>
      <w:r w:rsidRPr="00347D76">
        <w:rPr>
          <w:lang w:val="en-US"/>
        </w:rPr>
        <w:t>NAc</w:t>
      </w:r>
      <w:proofErr w:type="spellEnd"/>
      <w:r w:rsidRPr="00347D76">
        <w:rPr>
          <w:lang w:val="en-US"/>
        </w:rPr>
        <w:t>, purity &gt;98%), fast blue B salt (FBBS, purity ̴95%)</w:t>
      </w:r>
    </w:p>
    <w:p w14:paraId="1D244B3E" w14:textId="1D31B616" w:rsidR="00486625" w:rsidRPr="00347D76" w:rsidRDefault="00C95FB9" w:rsidP="00C50B64">
      <w:pPr>
        <w:pStyle w:val="ListParagraph"/>
        <w:numPr>
          <w:ilvl w:val="0"/>
          <w:numId w:val="25"/>
        </w:numPr>
        <w:spacing w:line="276" w:lineRule="auto"/>
        <w:jc w:val="both"/>
        <w:rPr>
          <w:iCs/>
          <w:lang w:val="en-US"/>
        </w:rPr>
      </w:pPr>
      <w:r w:rsidRPr="00347D76">
        <w:rPr>
          <w:iCs/>
          <w:lang w:val="en-US"/>
        </w:rPr>
        <w:t>Various</w:t>
      </w:r>
      <w:r w:rsidR="00486625" w:rsidRPr="00347D76">
        <w:rPr>
          <w:iCs/>
          <w:lang w:val="en-US"/>
        </w:rPr>
        <w:t xml:space="preserve"> </w:t>
      </w:r>
      <w:r w:rsidRPr="00347D76">
        <w:rPr>
          <w:iCs/>
          <w:lang w:val="en-US"/>
        </w:rPr>
        <w:t xml:space="preserve">CM and OP </w:t>
      </w:r>
      <w:r w:rsidR="00486625" w:rsidRPr="00347D76">
        <w:rPr>
          <w:iCs/>
          <w:lang w:val="en-US"/>
        </w:rPr>
        <w:t>pesticides</w:t>
      </w:r>
    </w:p>
    <w:p w14:paraId="52508AB8" w14:textId="77777777" w:rsidR="00486625" w:rsidRPr="00347D76" w:rsidRDefault="00486625" w:rsidP="00C50B64">
      <w:pPr>
        <w:pStyle w:val="ListParagraph"/>
        <w:spacing w:line="276" w:lineRule="auto"/>
        <w:jc w:val="both"/>
        <w:rPr>
          <w:iCs/>
          <w:lang w:val="en-US"/>
        </w:rPr>
      </w:pPr>
    </w:p>
    <w:p w14:paraId="0AE13191" w14:textId="493C48F3" w:rsidR="003518E3" w:rsidRPr="00347D76" w:rsidRDefault="003518E3" w:rsidP="00C50B64">
      <w:pPr>
        <w:spacing w:line="276" w:lineRule="auto"/>
        <w:jc w:val="both"/>
        <w:rPr>
          <w:i/>
          <w:lang w:val="en-US"/>
        </w:rPr>
      </w:pPr>
      <w:r w:rsidRPr="00347D76">
        <w:rPr>
          <w:i/>
          <w:lang w:val="en-US"/>
        </w:rPr>
        <w:t>AChE microplate assay</w:t>
      </w:r>
    </w:p>
    <w:p w14:paraId="28C780E0" w14:textId="52581835" w:rsidR="00B27563" w:rsidRPr="00347D76" w:rsidRDefault="00B27563" w:rsidP="00C50B64">
      <w:pPr>
        <w:spacing w:line="276" w:lineRule="auto"/>
        <w:jc w:val="both"/>
        <w:rPr>
          <w:iCs/>
          <w:lang w:val="en-US"/>
        </w:rPr>
      </w:pPr>
      <w:r w:rsidRPr="00347D76">
        <w:rPr>
          <w:iCs/>
          <w:lang w:val="en-US"/>
        </w:rPr>
        <w:t xml:space="preserve">To find the most suitable AChE substrate, three different AChE </w:t>
      </w:r>
      <w:r w:rsidR="00C954EF" w:rsidRPr="00347D76">
        <w:rPr>
          <w:iCs/>
          <w:lang w:val="en-US"/>
        </w:rPr>
        <w:t xml:space="preserve">assays </w:t>
      </w:r>
      <w:r w:rsidRPr="00347D76">
        <w:rPr>
          <w:iCs/>
          <w:lang w:val="en-US"/>
        </w:rPr>
        <w:t>are tested, namely Ellman’s, IDA and a-</w:t>
      </w:r>
      <w:proofErr w:type="spellStart"/>
      <w:r w:rsidRPr="00347D76">
        <w:rPr>
          <w:iCs/>
          <w:lang w:val="en-US"/>
        </w:rPr>
        <w:t>NAc</w:t>
      </w:r>
      <w:proofErr w:type="spellEnd"/>
      <w:r w:rsidRPr="00347D76">
        <w:rPr>
          <w:iCs/>
          <w:lang w:val="en-US"/>
        </w:rPr>
        <w:t xml:space="preserve"> assays. </w:t>
      </w:r>
      <w:r w:rsidR="00C95FB9" w:rsidRPr="00347D76">
        <w:rPr>
          <w:iCs/>
          <w:lang w:val="en-US"/>
        </w:rPr>
        <w:t>The respective assay protocols are listed below:</w:t>
      </w:r>
    </w:p>
    <w:p w14:paraId="6CCBD6E7" w14:textId="13A3E8BC" w:rsidR="00B72952" w:rsidRPr="00347D76" w:rsidRDefault="00B72952" w:rsidP="00C50B64">
      <w:pPr>
        <w:pStyle w:val="MDPI22heading2"/>
        <w:numPr>
          <w:ilvl w:val="0"/>
          <w:numId w:val="23"/>
        </w:numPr>
        <w:spacing w:line="276" w:lineRule="auto"/>
        <w:jc w:val="both"/>
        <w:rPr>
          <w:rFonts w:ascii="Times New Roman" w:hAnsi="Times New Roman"/>
          <w:i w:val="0"/>
          <w:noProof w:val="0"/>
          <w:snapToGrid/>
          <w:color w:val="auto"/>
          <w:sz w:val="24"/>
          <w:szCs w:val="20"/>
          <w:lang w:eastAsia="cs-CZ" w:bidi="ar-SA"/>
        </w:rPr>
      </w:pPr>
      <w:r w:rsidRPr="00347D76">
        <w:rPr>
          <w:rFonts w:ascii="Times New Roman" w:hAnsi="Times New Roman"/>
          <w:i w:val="0"/>
          <w:noProof w:val="0"/>
          <w:snapToGrid/>
          <w:color w:val="auto"/>
          <w:sz w:val="24"/>
          <w:szCs w:val="20"/>
          <w:lang w:eastAsia="cs-CZ" w:bidi="ar-SA"/>
        </w:rPr>
        <w:t xml:space="preserve">Ellman’s assay </w:t>
      </w:r>
    </w:p>
    <w:p w14:paraId="63003B73" w14:textId="77777777" w:rsidR="00B72952" w:rsidRPr="00347D76" w:rsidRDefault="00B72952" w:rsidP="00C50B64">
      <w:pPr>
        <w:pStyle w:val="MDPI31text"/>
        <w:spacing w:line="276" w:lineRule="auto"/>
        <w:rPr>
          <w:rFonts w:ascii="Times New Roman" w:hAnsi="Times New Roman"/>
          <w:snapToGrid/>
          <w:color w:val="auto"/>
          <w:sz w:val="24"/>
          <w:szCs w:val="20"/>
          <w:lang w:eastAsia="cs-CZ" w:bidi="ar-SA"/>
        </w:rPr>
      </w:pPr>
      <w:r w:rsidRPr="00347D76">
        <w:rPr>
          <w:rFonts w:ascii="Times New Roman" w:hAnsi="Times New Roman"/>
          <w:snapToGrid/>
          <w:color w:val="auto"/>
          <w:sz w:val="24"/>
          <w:szCs w:val="20"/>
          <w:lang w:eastAsia="cs-CZ" w:bidi="ar-SA"/>
        </w:rPr>
        <w:t xml:space="preserve">Thirty </w:t>
      </w:r>
      <w:proofErr w:type="spellStart"/>
      <w:r w:rsidRPr="00347D76">
        <w:rPr>
          <w:rFonts w:ascii="Times New Roman" w:hAnsi="Times New Roman"/>
          <w:snapToGrid/>
          <w:color w:val="auto"/>
          <w:sz w:val="24"/>
          <w:szCs w:val="20"/>
          <w:lang w:eastAsia="cs-CZ" w:bidi="ar-SA"/>
        </w:rPr>
        <w:t>μL</w:t>
      </w:r>
      <w:proofErr w:type="spellEnd"/>
      <w:r w:rsidRPr="00347D76">
        <w:rPr>
          <w:rFonts w:ascii="Times New Roman" w:hAnsi="Times New Roman"/>
          <w:snapToGrid/>
          <w:color w:val="auto"/>
          <w:sz w:val="24"/>
          <w:szCs w:val="20"/>
          <w:lang w:eastAsia="cs-CZ" w:bidi="ar-SA"/>
        </w:rPr>
        <w:t xml:space="preserve"> AChE (0.009 U well</w:t>
      </w:r>
      <w:r w:rsidRPr="009550B1">
        <w:rPr>
          <w:rFonts w:ascii="Times New Roman" w:hAnsi="Times New Roman"/>
          <w:snapToGrid/>
          <w:color w:val="auto"/>
          <w:sz w:val="24"/>
          <w:szCs w:val="20"/>
          <w:vertAlign w:val="superscript"/>
          <w:lang w:eastAsia="cs-CZ" w:bidi="ar-SA"/>
        </w:rPr>
        <w:t>-1</w:t>
      </w:r>
      <w:r w:rsidRPr="00347D76">
        <w:rPr>
          <w:rFonts w:ascii="Times New Roman" w:hAnsi="Times New Roman"/>
          <w:snapToGrid/>
          <w:color w:val="auto"/>
          <w:sz w:val="24"/>
          <w:szCs w:val="20"/>
          <w:lang w:eastAsia="cs-CZ" w:bidi="ar-SA"/>
        </w:rPr>
        <w:t xml:space="preserve">) were incubated with 30 </w:t>
      </w:r>
      <w:proofErr w:type="spellStart"/>
      <w:r w:rsidRPr="00347D76">
        <w:rPr>
          <w:rFonts w:ascii="Times New Roman" w:hAnsi="Times New Roman"/>
          <w:snapToGrid/>
          <w:color w:val="auto"/>
          <w:sz w:val="24"/>
          <w:szCs w:val="20"/>
          <w:lang w:eastAsia="cs-CZ" w:bidi="ar-SA"/>
        </w:rPr>
        <w:t>μL</w:t>
      </w:r>
      <w:proofErr w:type="spellEnd"/>
      <w:r w:rsidRPr="00347D76">
        <w:rPr>
          <w:rFonts w:ascii="Times New Roman" w:hAnsi="Times New Roman"/>
          <w:snapToGrid/>
          <w:color w:val="auto"/>
          <w:sz w:val="24"/>
          <w:szCs w:val="20"/>
          <w:lang w:eastAsia="cs-CZ" w:bidi="ar-SA"/>
        </w:rPr>
        <w:t xml:space="preserve"> of an inhibitor for 15 min. Next, 30 </w:t>
      </w:r>
      <w:proofErr w:type="spellStart"/>
      <w:r w:rsidRPr="00347D76">
        <w:rPr>
          <w:rFonts w:ascii="Times New Roman" w:hAnsi="Times New Roman"/>
          <w:snapToGrid/>
          <w:color w:val="auto"/>
          <w:sz w:val="24"/>
          <w:szCs w:val="20"/>
          <w:lang w:eastAsia="cs-CZ" w:bidi="ar-SA"/>
        </w:rPr>
        <w:t>μL</w:t>
      </w:r>
      <w:proofErr w:type="spellEnd"/>
      <w:r w:rsidRPr="00347D76">
        <w:rPr>
          <w:rFonts w:ascii="Times New Roman" w:hAnsi="Times New Roman"/>
          <w:snapToGrid/>
          <w:color w:val="auto"/>
          <w:sz w:val="24"/>
          <w:szCs w:val="20"/>
          <w:lang w:eastAsia="cs-CZ" w:bidi="ar-SA"/>
        </w:rPr>
        <w:t xml:space="preserve"> of a 12.5 mM </w:t>
      </w:r>
      <w:proofErr w:type="spellStart"/>
      <w:r w:rsidRPr="00347D76">
        <w:rPr>
          <w:rFonts w:ascii="Times New Roman" w:hAnsi="Times New Roman"/>
          <w:snapToGrid/>
          <w:color w:val="auto"/>
          <w:sz w:val="24"/>
          <w:szCs w:val="20"/>
          <w:lang w:eastAsia="cs-CZ" w:bidi="ar-SA"/>
        </w:rPr>
        <w:t>AThI</w:t>
      </w:r>
      <w:proofErr w:type="spellEnd"/>
      <w:r w:rsidRPr="00347D76">
        <w:rPr>
          <w:rFonts w:ascii="Times New Roman" w:hAnsi="Times New Roman"/>
          <w:snapToGrid/>
          <w:color w:val="auto"/>
          <w:sz w:val="24"/>
          <w:szCs w:val="20"/>
          <w:lang w:eastAsia="cs-CZ" w:bidi="ar-SA"/>
        </w:rPr>
        <w:t xml:space="preserve">: 1.5 mM DTNB (9:1) solution in PBS were added and the absorbance was measured at 412 nm after 2 min. </w:t>
      </w:r>
    </w:p>
    <w:p w14:paraId="1AF59B66" w14:textId="75E189F6" w:rsidR="00B72952" w:rsidRPr="00347D76" w:rsidRDefault="00B72952" w:rsidP="00C50B64">
      <w:pPr>
        <w:pStyle w:val="MDPI22heading2"/>
        <w:numPr>
          <w:ilvl w:val="0"/>
          <w:numId w:val="23"/>
        </w:numPr>
        <w:spacing w:line="276" w:lineRule="auto"/>
        <w:jc w:val="both"/>
        <w:rPr>
          <w:rFonts w:ascii="Times New Roman" w:hAnsi="Times New Roman"/>
          <w:i w:val="0"/>
          <w:noProof w:val="0"/>
          <w:snapToGrid/>
          <w:color w:val="auto"/>
          <w:sz w:val="24"/>
          <w:szCs w:val="20"/>
          <w:lang w:eastAsia="cs-CZ" w:bidi="ar-SA"/>
        </w:rPr>
      </w:pPr>
      <w:r w:rsidRPr="00347D76">
        <w:rPr>
          <w:rFonts w:ascii="Times New Roman" w:hAnsi="Times New Roman"/>
          <w:i w:val="0"/>
          <w:noProof w:val="0"/>
          <w:snapToGrid/>
          <w:color w:val="auto"/>
          <w:sz w:val="24"/>
          <w:szCs w:val="20"/>
          <w:lang w:eastAsia="cs-CZ" w:bidi="ar-SA"/>
        </w:rPr>
        <w:t>Indoxyl acetate assay</w:t>
      </w:r>
    </w:p>
    <w:p w14:paraId="5B574BC1" w14:textId="77777777" w:rsidR="00B72952" w:rsidRPr="00347D76" w:rsidRDefault="00B72952" w:rsidP="00C50B64">
      <w:pPr>
        <w:pStyle w:val="MDPI31text"/>
        <w:spacing w:line="276" w:lineRule="auto"/>
        <w:rPr>
          <w:rFonts w:ascii="Times New Roman" w:hAnsi="Times New Roman"/>
          <w:snapToGrid/>
          <w:color w:val="auto"/>
          <w:sz w:val="24"/>
          <w:szCs w:val="20"/>
          <w:lang w:eastAsia="cs-CZ" w:bidi="ar-SA"/>
        </w:rPr>
      </w:pPr>
      <w:r w:rsidRPr="00347D76">
        <w:rPr>
          <w:rFonts w:ascii="Times New Roman" w:hAnsi="Times New Roman"/>
          <w:snapToGrid/>
          <w:color w:val="auto"/>
          <w:sz w:val="24"/>
          <w:szCs w:val="20"/>
          <w:lang w:eastAsia="cs-CZ" w:bidi="ar-SA"/>
        </w:rPr>
        <w:t xml:space="preserve">Fifty </w:t>
      </w:r>
      <w:proofErr w:type="spellStart"/>
      <w:r w:rsidRPr="00347D76">
        <w:rPr>
          <w:rFonts w:ascii="Times New Roman" w:hAnsi="Times New Roman"/>
          <w:snapToGrid/>
          <w:color w:val="auto"/>
          <w:sz w:val="24"/>
          <w:szCs w:val="20"/>
          <w:lang w:eastAsia="cs-CZ" w:bidi="ar-SA"/>
        </w:rPr>
        <w:t>μL</w:t>
      </w:r>
      <w:proofErr w:type="spellEnd"/>
      <w:r w:rsidRPr="00347D76">
        <w:rPr>
          <w:rFonts w:ascii="Times New Roman" w:hAnsi="Times New Roman"/>
          <w:snapToGrid/>
          <w:color w:val="auto"/>
          <w:sz w:val="24"/>
          <w:szCs w:val="20"/>
          <w:lang w:eastAsia="cs-CZ" w:bidi="ar-SA"/>
        </w:rPr>
        <w:t xml:space="preserve"> AChE (0.75 U well</w:t>
      </w:r>
      <w:r w:rsidRPr="009550B1">
        <w:rPr>
          <w:rFonts w:ascii="Times New Roman" w:hAnsi="Times New Roman"/>
          <w:snapToGrid/>
          <w:color w:val="auto"/>
          <w:sz w:val="24"/>
          <w:szCs w:val="20"/>
          <w:vertAlign w:val="superscript"/>
          <w:lang w:eastAsia="cs-CZ" w:bidi="ar-SA"/>
        </w:rPr>
        <w:t>-1</w:t>
      </w:r>
      <w:r w:rsidRPr="00347D76">
        <w:rPr>
          <w:rFonts w:ascii="Times New Roman" w:hAnsi="Times New Roman"/>
          <w:snapToGrid/>
          <w:color w:val="auto"/>
          <w:sz w:val="24"/>
          <w:szCs w:val="20"/>
          <w:lang w:eastAsia="cs-CZ" w:bidi="ar-SA"/>
        </w:rPr>
        <w:t xml:space="preserve">) were incubated with 50 </w:t>
      </w:r>
      <w:proofErr w:type="spellStart"/>
      <w:r w:rsidRPr="00347D76">
        <w:rPr>
          <w:rFonts w:ascii="Times New Roman" w:hAnsi="Times New Roman"/>
          <w:snapToGrid/>
          <w:color w:val="auto"/>
          <w:sz w:val="24"/>
          <w:szCs w:val="20"/>
          <w:lang w:eastAsia="cs-CZ" w:bidi="ar-SA"/>
        </w:rPr>
        <w:t>μL</w:t>
      </w:r>
      <w:proofErr w:type="spellEnd"/>
      <w:r w:rsidRPr="00347D76">
        <w:rPr>
          <w:rFonts w:ascii="Times New Roman" w:hAnsi="Times New Roman"/>
          <w:snapToGrid/>
          <w:color w:val="auto"/>
          <w:sz w:val="24"/>
          <w:szCs w:val="20"/>
          <w:lang w:eastAsia="cs-CZ" w:bidi="ar-SA"/>
        </w:rPr>
        <w:t xml:space="preserve"> of an inhibitor for 15 min. Next, 10 </w:t>
      </w:r>
      <w:proofErr w:type="spellStart"/>
      <w:r w:rsidRPr="00347D76">
        <w:rPr>
          <w:rFonts w:ascii="Times New Roman" w:hAnsi="Times New Roman"/>
          <w:snapToGrid/>
          <w:color w:val="auto"/>
          <w:sz w:val="24"/>
          <w:szCs w:val="20"/>
          <w:lang w:eastAsia="cs-CZ" w:bidi="ar-SA"/>
        </w:rPr>
        <w:t>μL</w:t>
      </w:r>
      <w:proofErr w:type="spellEnd"/>
      <w:r w:rsidRPr="00347D76">
        <w:rPr>
          <w:rFonts w:ascii="Times New Roman" w:hAnsi="Times New Roman"/>
          <w:snapToGrid/>
          <w:color w:val="auto"/>
          <w:sz w:val="24"/>
          <w:szCs w:val="20"/>
          <w:lang w:eastAsia="cs-CZ" w:bidi="ar-SA"/>
        </w:rPr>
        <w:t xml:space="preserve"> of 10 mM IDA in EtOH was added and the absorbance was measured at 670 nm after 30 min.</w:t>
      </w:r>
    </w:p>
    <w:p w14:paraId="3F0211B1" w14:textId="3DFD5A28" w:rsidR="00B72952" w:rsidRPr="00347D76" w:rsidRDefault="00B72952" w:rsidP="00C50B64">
      <w:pPr>
        <w:pStyle w:val="MDPI22heading2"/>
        <w:numPr>
          <w:ilvl w:val="0"/>
          <w:numId w:val="23"/>
        </w:numPr>
        <w:spacing w:line="276" w:lineRule="auto"/>
        <w:jc w:val="both"/>
        <w:rPr>
          <w:rFonts w:ascii="Times New Roman" w:hAnsi="Times New Roman"/>
          <w:i w:val="0"/>
          <w:noProof w:val="0"/>
          <w:snapToGrid/>
          <w:color w:val="auto"/>
          <w:sz w:val="24"/>
          <w:szCs w:val="20"/>
          <w:lang w:eastAsia="cs-CZ" w:bidi="ar-SA"/>
        </w:rPr>
      </w:pPr>
      <w:r w:rsidRPr="00347D76">
        <w:rPr>
          <w:rFonts w:ascii="Times New Roman" w:hAnsi="Times New Roman"/>
          <w:i w:val="0"/>
          <w:noProof w:val="0"/>
          <w:snapToGrid/>
          <w:color w:val="auto"/>
          <w:sz w:val="24"/>
          <w:szCs w:val="20"/>
          <w:lang w:eastAsia="cs-CZ" w:bidi="ar-SA"/>
        </w:rPr>
        <w:t>Alpha-naphthyl acetate assay</w:t>
      </w:r>
    </w:p>
    <w:p w14:paraId="7D742C13" w14:textId="6E83F457" w:rsidR="00B72952" w:rsidRPr="00347D76" w:rsidRDefault="00B72952" w:rsidP="00C50B64">
      <w:pPr>
        <w:pStyle w:val="MDPI31text"/>
        <w:spacing w:line="276" w:lineRule="auto"/>
        <w:rPr>
          <w:rFonts w:ascii="Times New Roman" w:hAnsi="Times New Roman"/>
          <w:snapToGrid/>
          <w:color w:val="auto"/>
          <w:sz w:val="24"/>
          <w:szCs w:val="20"/>
          <w:lang w:eastAsia="cs-CZ" w:bidi="ar-SA"/>
        </w:rPr>
      </w:pPr>
      <w:r w:rsidRPr="00347D76">
        <w:rPr>
          <w:rFonts w:ascii="Times New Roman" w:hAnsi="Times New Roman"/>
          <w:snapToGrid/>
          <w:color w:val="auto"/>
          <w:sz w:val="24"/>
          <w:szCs w:val="20"/>
          <w:lang w:eastAsia="cs-CZ" w:bidi="ar-SA"/>
        </w:rPr>
        <w:t xml:space="preserve">Thirty </w:t>
      </w:r>
      <w:proofErr w:type="spellStart"/>
      <w:r w:rsidRPr="00347D76">
        <w:rPr>
          <w:rFonts w:ascii="Times New Roman" w:hAnsi="Times New Roman"/>
          <w:snapToGrid/>
          <w:color w:val="auto"/>
          <w:sz w:val="24"/>
          <w:szCs w:val="20"/>
          <w:lang w:eastAsia="cs-CZ" w:bidi="ar-SA"/>
        </w:rPr>
        <w:t>μL</w:t>
      </w:r>
      <w:proofErr w:type="spellEnd"/>
      <w:r w:rsidRPr="00347D76">
        <w:rPr>
          <w:rFonts w:ascii="Times New Roman" w:hAnsi="Times New Roman"/>
          <w:snapToGrid/>
          <w:color w:val="auto"/>
          <w:sz w:val="24"/>
          <w:szCs w:val="20"/>
          <w:lang w:eastAsia="cs-CZ" w:bidi="ar-SA"/>
        </w:rPr>
        <w:t xml:space="preserve"> AChE (1.1 U well</w:t>
      </w:r>
      <w:r w:rsidRPr="009550B1">
        <w:rPr>
          <w:rFonts w:ascii="Times New Roman" w:hAnsi="Times New Roman"/>
          <w:snapToGrid/>
          <w:color w:val="auto"/>
          <w:sz w:val="24"/>
          <w:szCs w:val="20"/>
          <w:vertAlign w:val="superscript"/>
          <w:lang w:eastAsia="cs-CZ" w:bidi="ar-SA"/>
        </w:rPr>
        <w:t>-1</w:t>
      </w:r>
      <w:r w:rsidRPr="00347D76">
        <w:rPr>
          <w:rFonts w:ascii="Times New Roman" w:hAnsi="Times New Roman"/>
          <w:snapToGrid/>
          <w:color w:val="auto"/>
          <w:sz w:val="24"/>
          <w:szCs w:val="20"/>
          <w:lang w:eastAsia="cs-CZ" w:bidi="ar-SA"/>
        </w:rPr>
        <w:t xml:space="preserve">) were incubated with 30 </w:t>
      </w:r>
      <w:proofErr w:type="spellStart"/>
      <w:r w:rsidRPr="00347D76">
        <w:rPr>
          <w:rFonts w:ascii="Times New Roman" w:hAnsi="Times New Roman"/>
          <w:snapToGrid/>
          <w:color w:val="auto"/>
          <w:sz w:val="24"/>
          <w:szCs w:val="20"/>
          <w:lang w:eastAsia="cs-CZ" w:bidi="ar-SA"/>
        </w:rPr>
        <w:t>μL</w:t>
      </w:r>
      <w:proofErr w:type="spellEnd"/>
      <w:r w:rsidRPr="00347D76">
        <w:rPr>
          <w:rFonts w:ascii="Times New Roman" w:hAnsi="Times New Roman"/>
          <w:snapToGrid/>
          <w:color w:val="auto"/>
          <w:sz w:val="24"/>
          <w:szCs w:val="20"/>
          <w:lang w:eastAsia="cs-CZ" w:bidi="ar-SA"/>
        </w:rPr>
        <w:t xml:space="preserve"> of an inhibitor for 15 min. Next, 30 </w:t>
      </w:r>
      <w:proofErr w:type="spellStart"/>
      <w:r w:rsidRPr="00347D76">
        <w:rPr>
          <w:rFonts w:ascii="Times New Roman" w:hAnsi="Times New Roman"/>
          <w:snapToGrid/>
          <w:color w:val="auto"/>
          <w:sz w:val="24"/>
          <w:szCs w:val="20"/>
          <w:lang w:eastAsia="cs-CZ" w:bidi="ar-SA"/>
        </w:rPr>
        <w:t>μL</w:t>
      </w:r>
      <w:proofErr w:type="spellEnd"/>
      <w:r w:rsidRPr="00347D76">
        <w:rPr>
          <w:rFonts w:ascii="Times New Roman" w:hAnsi="Times New Roman"/>
          <w:snapToGrid/>
          <w:color w:val="auto"/>
          <w:sz w:val="24"/>
          <w:szCs w:val="20"/>
          <w:lang w:eastAsia="cs-CZ" w:bidi="ar-SA"/>
        </w:rPr>
        <w:t xml:space="preserve"> of 2 mM a-</w:t>
      </w:r>
      <w:proofErr w:type="spellStart"/>
      <w:r w:rsidRPr="00347D76">
        <w:rPr>
          <w:rFonts w:ascii="Times New Roman" w:hAnsi="Times New Roman"/>
          <w:snapToGrid/>
          <w:color w:val="auto"/>
          <w:sz w:val="24"/>
          <w:szCs w:val="20"/>
          <w:lang w:eastAsia="cs-CZ" w:bidi="ar-SA"/>
        </w:rPr>
        <w:t>NAc</w:t>
      </w:r>
      <w:proofErr w:type="spellEnd"/>
      <w:r w:rsidRPr="00347D76">
        <w:rPr>
          <w:rFonts w:ascii="Times New Roman" w:hAnsi="Times New Roman"/>
          <w:snapToGrid/>
          <w:color w:val="auto"/>
          <w:sz w:val="24"/>
          <w:szCs w:val="20"/>
          <w:lang w:eastAsia="cs-CZ" w:bidi="ar-SA"/>
        </w:rPr>
        <w:t>: 0.66 mM FBBS (1 in EtOH :5 in PBS) was added and the absorbance was measured at 525 nm after 2 min.</w:t>
      </w:r>
    </w:p>
    <w:p w14:paraId="268E7C41" w14:textId="77777777" w:rsidR="00486625" w:rsidRPr="00347D76" w:rsidRDefault="00486625" w:rsidP="00C50B64">
      <w:pPr>
        <w:spacing w:line="276" w:lineRule="auto"/>
        <w:jc w:val="both"/>
        <w:rPr>
          <w:lang w:val="en-US"/>
        </w:rPr>
      </w:pPr>
    </w:p>
    <w:p w14:paraId="0CEB908C" w14:textId="76E696EC" w:rsidR="003518E3" w:rsidRPr="00347D76" w:rsidRDefault="003518E3" w:rsidP="00C50B64">
      <w:pPr>
        <w:spacing w:line="276" w:lineRule="auto"/>
        <w:jc w:val="both"/>
        <w:rPr>
          <w:i/>
          <w:lang w:val="en-US"/>
        </w:rPr>
      </w:pPr>
      <w:r w:rsidRPr="00347D76">
        <w:rPr>
          <w:i/>
          <w:lang w:val="en-US"/>
        </w:rPr>
        <w:t>Specificity testing – Cross Reactivity%</w:t>
      </w:r>
    </w:p>
    <w:p w14:paraId="27F379E9" w14:textId="5B0A8030" w:rsidR="00B72952" w:rsidRPr="00347D76" w:rsidRDefault="00B72952" w:rsidP="00C50B64">
      <w:pPr>
        <w:spacing w:line="276" w:lineRule="auto"/>
        <w:jc w:val="both"/>
        <w:rPr>
          <w:lang w:val="en-US"/>
        </w:rPr>
      </w:pPr>
      <w:r w:rsidRPr="00347D76">
        <w:rPr>
          <w:lang w:val="en-US"/>
        </w:rPr>
        <w:tab/>
        <w:t xml:space="preserve">CMs and OPs have the same mode of action towards AChE, thus, it is important to evaluate AChE specificity towards the tested inhibitors. Assay specificity was evaluated in terms of cross-reactivity towards carbofuran, which was the strongest AChE inhibitor. The cross-reactivity was calculated </w:t>
      </w:r>
      <w:r w:rsidR="004A5D3B" w:rsidRPr="00347D76">
        <w:rPr>
          <w:lang w:val="en-US"/>
        </w:rPr>
        <w:t>using the half maximal inhibitory concentration (IC</w:t>
      </w:r>
      <w:r w:rsidR="004A5D3B" w:rsidRPr="00347D76">
        <w:rPr>
          <w:vertAlign w:val="subscript"/>
          <w:lang w:val="en-US"/>
        </w:rPr>
        <w:t>50</w:t>
      </w:r>
      <w:r w:rsidR="004A5D3B" w:rsidRPr="00347D76">
        <w:rPr>
          <w:lang w:val="en-US"/>
        </w:rPr>
        <w:t xml:space="preserve">) </w:t>
      </w:r>
      <w:r w:rsidR="00A967F1">
        <w:rPr>
          <w:lang w:val="en-US"/>
        </w:rPr>
        <w:t>a</w:t>
      </w:r>
      <w:r w:rsidRPr="00347D76">
        <w:rPr>
          <w:lang w:val="en-US"/>
        </w:rPr>
        <w:t xml:space="preserve">s follows: </w:t>
      </w:r>
    </w:p>
    <w:p w14:paraId="44E11093" w14:textId="77777777" w:rsidR="00486625" w:rsidRPr="00347D76" w:rsidRDefault="00486625" w:rsidP="00C50B64">
      <w:pPr>
        <w:spacing w:line="276" w:lineRule="auto"/>
        <w:jc w:val="both"/>
        <w:rPr>
          <w:lang w:val="en-US"/>
        </w:rPr>
      </w:pPr>
    </w:p>
    <w:p w14:paraId="509FEAAF" w14:textId="67FD5F27" w:rsidR="004C0DB9" w:rsidRPr="00347D76" w:rsidRDefault="00B72952" w:rsidP="00C50B64">
      <w:pPr>
        <w:spacing w:line="276" w:lineRule="auto"/>
        <w:jc w:val="both"/>
        <w:rPr>
          <w:i/>
          <w:iCs/>
          <w:lang w:val="en-US"/>
        </w:rPr>
      </w:pPr>
      <w:r w:rsidRPr="00347D76">
        <w:rPr>
          <w:i/>
          <w:iCs/>
          <w:lang w:val="en-US"/>
        </w:rPr>
        <w:t>Cross-reactivity (%) = (IC</w:t>
      </w:r>
      <w:r w:rsidRPr="00347D76">
        <w:rPr>
          <w:i/>
          <w:iCs/>
          <w:vertAlign w:val="subscript"/>
          <w:lang w:val="en-US"/>
        </w:rPr>
        <w:t>50carbofuran</w:t>
      </w:r>
      <w:r w:rsidRPr="00347D76">
        <w:rPr>
          <w:i/>
          <w:iCs/>
          <w:lang w:val="en-US"/>
        </w:rPr>
        <w:t xml:space="preserve"> / IC</w:t>
      </w:r>
      <w:r w:rsidRPr="00347D76">
        <w:rPr>
          <w:i/>
          <w:iCs/>
          <w:vertAlign w:val="subscript"/>
          <w:lang w:val="en-US"/>
        </w:rPr>
        <w:t>50pesticide</w:t>
      </w:r>
      <w:r w:rsidRPr="00347D76">
        <w:rPr>
          <w:i/>
          <w:iCs/>
          <w:lang w:val="en-US"/>
        </w:rPr>
        <w:t>) x 100, carbofuran cross-reactivity was set as 100%.</w:t>
      </w:r>
    </w:p>
    <w:p w14:paraId="32161785" w14:textId="77777777" w:rsidR="00486625" w:rsidRPr="00347D76" w:rsidRDefault="00486625" w:rsidP="00C50B64">
      <w:pPr>
        <w:spacing w:line="276" w:lineRule="auto"/>
        <w:jc w:val="both"/>
        <w:rPr>
          <w:i/>
          <w:lang w:val="en-US"/>
        </w:rPr>
      </w:pPr>
    </w:p>
    <w:p w14:paraId="67B35797" w14:textId="3563007A" w:rsidR="004C0DB9" w:rsidRPr="00347D76" w:rsidRDefault="003518E3" w:rsidP="00C50B64">
      <w:pPr>
        <w:spacing w:line="276" w:lineRule="auto"/>
        <w:jc w:val="both"/>
        <w:rPr>
          <w:i/>
          <w:lang w:val="en-US"/>
        </w:rPr>
      </w:pPr>
      <w:r w:rsidRPr="00347D76">
        <w:rPr>
          <w:i/>
          <w:lang w:val="en-US"/>
        </w:rPr>
        <w:t>Carbofuran screening in apple juice</w:t>
      </w:r>
    </w:p>
    <w:p w14:paraId="1FC90ADF" w14:textId="0AAC1E3A" w:rsidR="003518E3" w:rsidRPr="00347D76" w:rsidRDefault="004C0DB9" w:rsidP="00C50B64">
      <w:pPr>
        <w:spacing w:line="276" w:lineRule="auto"/>
        <w:jc w:val="both"/>
        <w:rPr>
          <w:i/>
          <w:lang w:val="en-US"/>
        </w:rPr>
      </w:pPr>
      <w:r w:rsidRPr="00347D76">
        <w:rPr>
          <w:lang w:val="en-US"/>
        </w:rPr>
        <w:tab/>
      </w:r>
      <w:r w:rsidR="00B72952" w:rsidRPr="00347D76">
        <w:rPr>
          <w:lang w:val="en-US"/>
        </w:rPr>
        <w:t xml:space="preserve">Apple juice </w:t>
      </w:r>
      <w:r w:rsidR="002F7EAC" w:rsidRPr="00347D76">
        <w:rPr>
          <w:lang w:val="en-US"/>
        </w:rPr>
        <w:t>was purchased by the local market. Prior to the enzyme assay, the samples were analyzed by an LC-MS/MS method to verify that they did not contain detectable levels of OPs and CMs. Apple juice was diluted 10 times with PBS and the diluted samples were spiked with carbofuran to reach a concentration range from 0.0</w:t>
      </w:r>
      <w:r w:rsidR="00C95FB9" w:rsidRPr="00347D76">
        <w:rPr>
          <w:lang w:val="en-US"/>
        </w:rPr>
        <w:t>78</w:t>
      </w:r>
      <w:r w:rsidR="002F7EAC" w:rsidRPr="00347D76">
        <w:rPr>
          <w:lang w:val="en-US"/>
        </w:rPr>
        <w:t xml:space="preserve"> to 5 mg L</w:t>
      </w:r>
      <w:r w:rsidR="002F7EAC" w:rsidRPr="00347D76">
        <w:rPr>
          <w:vertAlign w:val="superscript"/>
          <w:lang w:val="en-US"/>
        </w:rPr>
        <w:t>-1</w:t>
      </w:r>
      <w:r w:rsidRPr="00347D76">
        <w:rPr>
          <w:lang w:val="en-US"/>
        </w:rPr>
        <w:t xml:space="preserve"> and subjected to the enzyme assay. </w:t>
      </w:r>
    </w:p>
    <w:p w14:paraId="6AD7D89B" w14:textId="759DAF83" w:rsidR="00B72952" w:rsidRPr="00347D76" w:rsidRDefault="00B72952" w:rsidP="00C50B64">
      <w:pPr>
        <w:spacing w:line="276" w:lineRule="auto"/>
        <w:jc w:val="both"/>
        <w:rPr>
          <w:i/>
          <w:lang w:val="en-US"/>
        </w:rPr>
      </w:pPr>
    </w:p>
    <w:p w14:paraId="755BBE89" w14:textId="6AE4AAC8" w:rsidR="00B3686A" w:rsidRPr="00347D76" w:rsidRDefault="00B3686A" w:rsidP="00C50B64">
      <w:pPr>
        <w:spacing w:line="276" w:lineRule="auto"/>
        <w:jc w:val="both"/>
        <w:rPr>
          <w:b/>
          <w:u w:val="single"/>
          <w:lang w:val="en-US"/>
        </w:rPr>
      </w:pPr>
      <w:r w:rsidRPr="00347D76">
        <w:rPr>
          <w:b/>
          <w:u w:val="single"/>
          <w:lang w:val="en-US"/>
        </w:rPr>
        <w:t>Part B. Paper-based assays</w:t>
      </w:r>
    </w:p>
    <w:p w14:paraId="65F9F1DB" w14:textId="63D58E09" w:rsidR="008D071C" w:rsidRPr="00347D76" w:rsidRDefault="008D071C" w:rsidP="00C50B64">
      <w:pPr>
        <w:spacing w:line="276" w:lineRule="auto"/>
        <w:jc w:val="both"/>
        <w:rPr>
          <w:lang w:val="en-US"/>
        </w:rPr>
      </w:pPr>
      <w:r w:rsidRPr="00347D76">
        <w:rPr>
          <w:lang w:val="en-US"/>
        </w:rPr>
        <w:tab/>
      </w:r>
    </w:p>
    <w:p w14:paraId="3AC46F14" w14:textId="77777777" w:rsidR="008D071C" w:rsidRPr="00347D76" w:rsidRDefault="008D071C" w:rsidP="00C50B64">
      <w:pPr>
        <w:spacing w:line="276" w:lineRule="auto"/>
        <w:jc w:val="both"/>
        <w:rPr>
          <w:i/>
          <w:lang w:val="en-US"/>
        </w:rPr>
      </w:pPr>
      <w:r w:rsidRPr="00347D76">
        <w:rPr>
          <w:i/>
          <w:lang w:val="en-US"/>
        </w:rPr>
        <w:t>Apparatus</w:t>
      </w:r>
    </w:p>
    <w:p w14:paraId="2667EABE" w14:textId="621E9F47" w:rsidR="008D071C" w:rsidRPr="00347D76" w:rsidRDefault="008D071C" w:rsidP="00C50B64">
      <w:pPr>
        <w:pStyle w:val="ListParagraph"/>
        <w:numPr>
          <w:ilvl w:val="0"/>
          <w:numId w:val="28"/>
        </w:numPr>
        <w:spacing w:line="276" w:lineRule="auto"/>
        <w:jc w:val="both"/>
        <w:rPr>
          <w:i/>
          <w:lang w:val="en-US"/>
        </w:rPr>
      </w:pPr>
      <w:r w:rsidRPr="00347D76">
        <w:rPr>
          <w:i/>
          <w:lang w:val="en-US"/>
        </w:rPr>
        <w:t xml:space="preserve">Whatman chromatography paper </w:t>
      </w:r>
    </w:p>
    <w:p w14:paraId="5E3F191B" w14:textId="5E0B9E0A" w:rsidR="008D071C" w:rsidRPr="00347D76" w:rsidRDefault="008D071C" w:rsidP="00C50B64">
      <w:pPr>
        <w:pStyle w:val="ListParagraph"/>
        <w:numPr>
          <w:ilvl w:val="0"/>
          <w:numId w:val="28"/>
        </w:numPr>
        <w:spacing w:line="276" w:lineRule="auto"/>
        <w:jc w:val="both"/>
        <w:rPr>
          <w:i/>
          <w:lang w:val="en-US"/>
        </w:rPr>
      </w:pPr>
      <w:r w:rsidRPr="00347D76">
        <w:rPr>
          <w:i/>
          <w:lang w:val="en-US"/>
        </w:rPr>
        <w:t>Wax-printed Whatman chromatography paper</w:t>
      </w:r>
    </w:p>
    <w:p w14:paraId="12B6D613" w14:textId="0171FBE9" w:rsidR="008D071C" w:rsidRPr="00347D76" w:rsidRDefault="008D071C" w:rsidP="00C50B64">
      <w:pPr>
        <w:spacing w:line="276" w:lineRule="auto"/>
        <w:jc w:val="both"/>
        <w:rPr>
          <w:lang w:val="en-US"/>
        </w:rPr>
      </w:pPr>
    </w:p>
    <w:p w14:paraId="1C95F94E" w14:textId="77777777" w:rsidR="008D071C" w:rsidRPr="00347D76" w:rsidRDefault="008D071C" w:rsidP="00C50B64">
      <w:pPr>
        <w:spacing w:line="276" w:lineRule="auto"/>
        <w:jc w:val="both"/>
        <w:rPr>
          <w:i/>
          <w:lang w:val="en-US"/>
        </w:rPr>
      </w:pPr>
      <w:r w:rsidRPr="00347D76">
        <w:rPr>
          <w:i/>
          <w:lang w:val="en-US"/>
        </w:rPr>
        <w:t>Chemicals &amp; Reagents</w:t>
      </w:r>
    </w:p>
    <w:p w14:paraId="0234AA23" w14:textId="77777777" w:rsidR="008D071C" w:rsidRPr="00347D76" w:rsidRDefault="008D071C" w:rsidP="00C50B64">
      <w:pPr>
        <w:pStyle w:val="ListParagraph"/>
        <w:numPr>
          <w:ilvl w:val="0"/>
          <w:numId w:val="25"/>
        </w:numPr>
        <w:spacing w:line="276" w:lineRule="auto"/>
        <w:jc w:val="both"/>
        <w:rPr>
          <w:lang w:val="en-US"/>
        </w:rPr>
      </w:pPr>
      <w:r w:rsidRPr="00347D76">
        <w:rPr>
          <w:lang w:val="en-US"/>
        </w:rPr>
        <w:t>Phosphate buffer saline (PBS) tablets</w:t>
      </w:r>
    </w:p>
    <w:p w14:paraId="0CD9DA3C" w14:textId="0A79EAE3" w:rsidR="008D071C" w:rsidRPr="00347D76" w:rsidRDefault="008D071C" w:rsidP="00C50B64">
      <w:pPr>
        <w:pStyle w:val="ListParagraph"/>
        <w:numPr>
          <w:ilvl w:val="0"/>
          <w:numId w:val="25"/>
        </w:numPr>
        <w:spacing w:line="276" w:lineRule="auto"/>
        <w:jc w:val="both"/>
        <w:rPr>
          <w:lang w:val="en-US"/>
        </w:rPr>
      </w:pPr>
      <w:r w:rsidRPr="00347D76">
        <w:rPr>
          <w:lang w:val="en-US"/>
        </w:rPr>
        <w:t xml:space="preserve">AChE from </w:t>
      </w:r>
      <w:r w:rsidRPr="00347D76">
        <w:rPr>
          <w:i/>
          <w:iCs/>
          <w:lang w:val="en-US"/>
        </w:rPr>
        <w:t xml:space="preserve">Electrophorus </w:t>
      </w:r>
      <w:proofErr w:type="spellStart"/>
      <w:r w:rsidRPr="00347D76">
        <w:rPr>
          <w:i/>
          <w:iCs/>
          <w:lang w:val="en-US"/>
        </w:rPr>
        <w:t>electricus</w:t>
      </w:r>
      <w:proofErr w:type="spellEnd"/>
    </w:p>
    <w:p w14:paraId="174BAEF2" w14:textId="77777777" w:rsidR="008D071C" w:rsidRPr="00347D76" w:rsidRDefault="008D071C" w:rsidP="00C50B64">
      <w:pPr>
        <w:spacing w:line="276" w:lineRule="auto"/>
        <w:jc w:val="both"/>
        <w:rPr>
          <w:lang w:val="en-US"/>
        </w:rPr>
      </w:pPr>
    </w:p>
    <w:p w14:paraId="2B14FDA6" w14:textId="3DC9051A" w:rsidR="008D071C" w:rsidRPr="00347D76" w:rsidRDefault="008D071C" w:rsidP="00C50B64">
      <w:pPr>
        <w:spacing w:line="276" w:lineRule="auto"/>
        <w:jc w:val="both"/>
        <w:rPr>
          <w:i/>
          <w:iCs/>
          <w:lang w:val="en-US"/>
        </w:rPr>
      </w:pPr>
      <w:r w:rsidRPr="00347D76">
        <w:rPr>
          <w:i/>
          <w:iCs/>
          <w:lang w:val="en-US"/>
        </w:rPr>
        <w:t xml:space="preserve">AChE immobilization </w:t>
      </w:r>
    </w:p>
    <w:p w14:paraId="0C0948F6" w14:textId="5F36B71E" w:rsidR="008D071C" w:rsidRPr="00347D76" w:rsidRDefault="00C10DBA" w:rsidP="00C50B64">
      <w:pPr>
        <w:spacing w:line="276" w:lineRule="auto"/>
        <w:jc w:val="both"/>
        <w:rPr>
          <w:lang w:val="en-US"/>
        </w:rPr>
      </w:pPr>
      <w:r w:rsidRPr="00347D76">
        <w:rPr>
          <w:lang w:val="en-US"/>
        </w:rPr>
        <w:tab/>
      </w:r>
      <w:r w:rsidR="008D071C" w:rsidRPr="00347D76">
        <w:rPr>
          <w:lang w:val="en-US"/>
        </w:rPr>
        <w:t xml:space="preserve">AChE was physically adsorbed on Whatman paper strips with 1.4 x 1 cm dimensions. The immobilization procedure was simple as 10 </w:t>
      </w:r>
      <w:proofErr w:type="spellStart"/>
      <w:r w:rsidR="008D071C" w:rsidRPr="00347D76">
        <w:rPr>
          <w:lang w:val="en-US"/>
        </w:rPr>
        <w:t>μL</w:t>
      </w:r>
      <w:proofErr w:type="spellEnd"/>
      <w:r w:rsidR="008D071C" w:rsidRPr="00347D76">
        <w:rPr>
          <w:lang w:val="en-US"/>
        </w:rPr>
        <w:t xml:space="preserve"> of AChE working solution in PBS (0.5 U μL</w:t>
      </w:r>
      <w:r w:rsidR="008D071C" w:rsidRPr="00347D76">
        <w:rPr>
          <w:vertAlign w:val="superscript"/>
          <w:lang w:val="en-US"/>
        </w:rPr>
        <w:t>-1</w:t>
      </w:r>
      <w:r w:rsidR="008D071C" w:rsidRPr="00347D76">
        <w:rPr>
          <w:lang w:val="en-US"/>
        </w:rPr>
        <w:t>) were pipetted into a microwell of a 96-microwell plate and a strip was dipped in the well using a tweezer, resulting in 5 U AChE/strip. Afterwards, the strips were dried in room temperature for 1 h and were ready for use.</w:t>
      </w:r>
    </w:p>
    <w:p w14:paraId="1598AE33" w14:textId="1D5FA9F4" w:rsidR="008D071C" w:rsidRPr="00347D76" w:rsidRDefault="008D071C" w:rsidP="00C50B64">
      <w:pPr>
        <w:spacing w:line="276" w:lineRule="auto"/>
        <w:jc w:val="both"/>
        <w:rPr>
          <w:lang w:val="en-US"/>
        </w:rPr>
      </w:pPr>
    </w:p>
    <w:p w14:paraId="7A07BDCB" w14:textId="07D9B12C" w:rsidR="008D071C" w:rsidRPr="00347D76" w:rsidRDefault="008D071C" w:rsidP="00C50B64">
      <w:pPr>
        <w:spacing w:line="276" w:lineRule="auto"/>
        <w:jc w:val="both"/>
        <w:rPr>
          <w:b/>
          <w:i/>
          <w:iCs/>
          <w:u w:val="single"/>
          <w:lang w:val="en-US"/>
        </w:rPr>
      </w:pPr>
      <w:r w:rsidRPr="00347D76">
        <w:rPr>
          <w:i/>
          <w:iCs/>
          <w:lang w:val="en-US"/>
        </w:rPr>
        <w:t>Application of wax-printing on strips</w:t>
      </w:r>
    </w:p>
    <w:p w14:paraId="62830731" w14:textId="4F67E12F" w:rsidR="008D071C" w:rsidRPr="00347D76" w:rsidRDefault="00C10DBA" w:rsidP="00C50B64">
      <w:pPr>
        <w:spacing w:line="276" w:lineRule="auto"/>
        <w:jc w:val="both"/>
        <w:rPr>
          <w:bCs/>
          <w:lang w:val="en-US"/>
        </w:rPr>
      </w:pPr>
      <w:r w:rsidRPr="00347D76">
        <w:rPr>
          <w:bCs/>
          <w:lang w:val="en-US"/>
        </w:rPr>
        <w:tab/>
        <w:t>Demonstration of wax-printed strips and discussion on the advantages that this technology provides.</w:t>
      </w:r>
    </w:p>
    <w:p w14:paraId="399D2300" w14:textId="77777777" w:rsidR="00C10DBA" w:rsidRPr="00347D76" w:rsidRDefault="00C10DBA" w:rsidP="00C50B64">
      <w:pPr>
        <w:spacing w:line="276" w:lineRule="auto"/>
        <w:jc w:val="both"/>
        <w:rPr>
          <w:b/>
          <w:u w:val="single"/>
          <w:lang w:val="en-US"/>
        </w:rPr>
      </w:pPr>
    </w:p>
    <w:p w14:paraId="34B07EA9" w14:textId="21EFA950" w:rsidR="00C10DBA" w:rsidRPr="00347D76" w:rsidRDefault="00460589" w:rsidP="00C50B64">
      <w:pPr>
        <w:spacing w:line="276" w:lineRule="auto"/>
        <w:jc w:val="both"/>
        <w:rPr>
          <w:b/>
          <w:u w:val="single"/>
          <w:lang w:val="en-US"/>
        </w:rPr>
      </w:pPr>
      <w:r w:rsidRPr="00347D76">
        <w:rPr>
          <w:b/>
          <w:u w:val="single"/>
          <w:lang w:val="en-US"/>
        </w:rPr>
        <w:t xml:space="preserve">Part </w:t>
      </w:r>
      <w:r w:rsidR="00B3686A" w:rsidRPr="00347D76">
        <w:rPr>
          <w:b/>
          <w:u w:val="single"/>
          <w:lang w:val="en-US"/>
        </w:rPr>
        <w:t>C</w:t>
      </w:r>
      <w:r w:rsidRPr="00347D76">
        <w:rPr>
          <w:b/>
          <w:u w:val="single"/>
          <w:lang w:val="en-US"/>
        </w:rPr>
        <w:t xml:space="preserve">. </w:t>
      </w:r>
      <w:r w:rsidR="00497A51" w:rsidRPr="00347D76">
        <w:rPr>
          <w:b/>
          <w:u w:val="single"/>
          <w:lang w:val="en-US"/>
        </w:rPr>
        <w:t xml:space="preserve">Lab-on-a-chip devices: </w:t>
      </w:r>
      <w:r w:rsidRPr="00347D76">
        <w:rPr>
          <w:b/>
          <w:u w:val="single"/>
          <w:lang w:val="en-US"/>
        </w:rPr>
        <w:t>CAD design and 3D-printing</w:t>
      </w:r>
    </w:p>
    <w:p w14:paraId="023F238E" w14:textId="4B43A89F" w:rsidR="00C10DBA" w:rsidRPr="00347D76" w:rsidRDefault="00C10DBA" w:rsidP="00C50B64">
      <w:pPr>
        <w:spacing w:line="276" w:lineRule="auto"/>
        <w:jc w:val="both"/>
        <w:rPr>
          <w:b/>
          <w:u w:val="single"/>
          <w:lang w:val="en-US"/>
        </w:rPr>
      </w:pPr>
    </w:p>
    <w:p w14:paraId="2519B20F" w14:textId="2B5AE122" w:rsidR="00C10DBA" w:rsidRPr="00347D76" w:rsidRDefault="00D1233C" w:rsidP="00C50B64">
      <w:pPr>
        <w:spacing w:line="276" w:lineRule="auto"/>
        <w:jc w:val="both"/>
        <w:rPr>
          <w:i/>
          <w:lang w:val="en-US"/>
        </w:rPr>
      </w:pPr>
      <w:r w:rsidRPr="00347D76">
        <w:rPr>
          <w:i/>
          <w:lang w:val="en-US"/>
        </w:rPr>
        <w:t>Apparatus &amp;</w:t>
      </w:r>
      <w:r w:rsidR="00C10DBA" w:rsidRPr="00347D76">
        <w:rPr>
          <w:i/>
          <w:lang w:val="en-US"/>
        </w:rPr>
        <w:t xml:space="preserve"> Software</w:t>
      </w:r>
    </w:p>
    <w:p w14:paraId="7DA8B1C7" w14:textId="0E9D405E" w:rsidR="00C10DBA" w:rsidRPr="00347D76" w:rsidRDefault="00D1233C" w:rsidP="00C50B64">
      <w:pPr>
        <w:pStyle w:val="ListParagraph"/>
        <w:numPr>
          <w:ilvl w:val="0"/>
          <w:numId w:val="29"/>
        </w:numPr>
        <w:spacing w:line="276" w:lineRule="auto"/>
        <w:jc w:val="both"/>
        <w:rPr>
          <w:b/>
          <w:u w:val="single"/>
          <w:lang w:val="en-US"/>
        </w:rPr>
      </w:pPr>
      <w:r w:rsidRPr="00347D76">
        <w:rPr>
          <w:bCs/>
          <w:lang w:val="en-US"/>
        </w:rPr>
        <w:t xml:space="preserve">Stereolithography (SLA) 3D-printer, </w:t>
      </w:r>
      <w:r w:rsidRPr="00347D76">
        <w:rPr>
          <w:lang w:val="en-US"/>
        </w:rPr>
        <w:t>Fused Deposition Modeling (FDM) 3D printer</w:t>
      </w:r>
    </w:p>
    <w:p w14:paraId="41BB16D0" w14:textId="4F9A3E17" w:rsidR="00D1233C" w:rsidRPr="00347D76" w:rsidRDefault="00D1233C" w:rsidP="00C50B64">
      <w:pPr>
        <w:pStyle w:val="ListParagraph"/>
        <w:numPr>
          <w:ilvl w:val="0"/>
          <w:numId w:val="29"/>
        </w:numPr>
        <w:spacing w:line="276" w:lineRule="auto"/>
        <w:jc w:val="both"/>
        <w:rPr>
          <w:b/>
          <w:u w:val="single"/>
          <w:lang w:val="en-US"/>
        </w:rPr>
      </w:pPr>
      <w:r w:rsidRPr="00347D76">
        <w:rPr>
          <w:lang w:val="en-US"/>
        </w:rPr>
        <w:t>Photocurable resin for SLA printer, PLA filament for FDM printer</w:t>
      </w:r>
    </w:p>
    <w:p w14:paraId="0CF776A9" w14:textId="255C0B6C" w:rsidR="00D1233C" w:rsidRPr="00347D76" w:rsidRDefault="00D1233C" w:rsidP="00C50B64">
      <w:pPr>
        <w:pStyle w:val="ListParagraph"/>
        <w:numPr>
          <w:ilvl w:val="0"/>
          <w:numId w:val="29"/>
        </w:numPr>
        <w:spacing w:line="276" w:lineRule="auto"/>
        <w:jc w:val="both"/>
        <w:rPr>
          <w:b/>
          <w:u w:val="single"/>
          <w:lang w:val="en-US"/>
        </w:rPr>
      </w:pPr>
      <w:r w:rsidRPr="00347D76">
        <w:rPr>
          <w:lang w:val="en-US"/>
        </w:rPr>
        <w:t>Fusion 360 CAD software</w:t>
      </w:r>
    </w:p>
    <w:p w14:paraId="572F006E" w14:textId="0E218622" w:rsidR="00D1233C" w:rsidRPr="00347D76" w:rsidRDefault="00D1233C" w:rsidP="00C50B64">
      <w:pPr>
        <w:spacing w:line="276" w:lineRule="auto"/>
        <w:jc w:val="both"/>
        <w:rPr>
          <w:b/>
          <w:u w:val="single"/>
          <w:lang w:val="en-US"/>
        </w:rPr>
      </w:pPr>
    </w:p>
    <w:p w14:paraId="24D8902A" w14:textId="77777777" w:rsidR="00D1233C" w:rsidRPr="00347D76" w:rsidRDefault="00D1233C" w:rsidP="00C50B64">
      <w:pPr>
        <w:spacing w:line="276" w:lineRule="auto"/>
        <w:jc w:val="both"/>
        <w:rPr>
          <w:bCs/>
          <w:i/>
          <w:iCs/>
          <w:lang w:val="en-US"/>
        </w:rPr>
      </w:pPr>
      <w:r w:rsidRPr="00347D76">
        <w:rPr>
          <w:bCs/>
          <w:i/>
          <w:iCs/>
          <w:lang w:val="en-US"/>
        </w:rPr>
        <w:t>LOC device design</w:t>
      </w:r>
    </w:p>
    <w:p w14:paraId="5DECB06F" w14:textId="391F7261" w:rsidR="00D1233C" w:rsidRPr="00347D76" w:rsidRDefault="00D1233C" w:rsidP="00C50B64">
      <w:pPr>
        <w:spacing w:line="276" w:lineRule="auto"/>
        <w:jc w:val="both"/>
        <w:rPr>
          <w:bCs/>
          <w:i/>
          <w:iCs/>
          <w:lang w:val="en-US"/>
        </w:rPr>
      </w:pPr>
      <w:r w:rsidRPr="00347D76">
        <w:rPr>
          <w:bCs/>
          <w:lang w:val="en-US"/>
        </w:rPr>
        <w:tab/>
        <w:t xml:space="preserve">A tutorial on how to design LOC devices using the free </w:t>
      </w:r>
      <w:r w:rsidRPr="00347D76">
        <w:rPr>
          <w:lang w:val="en-US"/>
        </w:rPr>
        <w:t xml:space="preserve">Fusion 360 CAD software is presented. For the students, it is recommended to download the software, register using their university </w:t>
      </w:r>
      <w:r w:rsidR="000259A8" w:rsidRPr="00347D76">
        <w:rPr>
          <w:lang w:val="en-US"/>
        </w:rPr>
        <w:t>username-password</w:t>
      </w:r>
      <w:r w:rsidRPr="00347D76">
        <w:rPr>
          <w:lang w:val="en-US"/>
        </w:rPr>
        <w:t xml:space="preserve"> and put hands-on LOC device designing. </w:t>
      </w:r>
    </w:p>
    <w:p w14:paraId="74F3076B" w14:textId="5C397AD9" w:rsidR="00D1233C" w:rsidRPr="00347D76" w:rsidRDefault="00D1233C" w:rsidP="00C50B64">
      <w:pPr>
        <w:spacing w:line="276" w:lineRule="auto"/>
        <w:jc w:val="both"/>
        <w:rPr>
          <w:bCs/>
          <w:lang w:val="en-US"/>
        </w:rPr>
      </w:pPr>
    </w:p>
    <w:p w14:paraId="18AF34D0" w14:textId="3DC44C9C" w:rsidR="00C10DBA" w:rsidRPr="00347D76" w:rsidRDefault="00D1233C" w:rsidP="00C50B64">
      <w:pPr>
        <w:spacing w:line="276" w:lineRule="auto"/>
        <w:jc w:val="both"/>
        <w:rPr>
          <w:bCs/>
          <w:i/>
          <w:iCs/>
          <w:lang w:val="en-US"/>
        </w:rPr>
      </w:pPr>
      <w:r w:rsidRPr="00347D76">
        <w:rPr>
          <w:bCs/>
          <w:i/>
          <w:iCs/>
          <w:lang w:val="en-US"/>
        </w:rPr>
        <w:t>3D-printing</w:t>
      </w:r>
    </w:p>
    <w:p w14:paraId="2EBBDB89" w14:textId="2D22E138" w:rsidR="00D1233C" w:rsidRPr="00347D76" w:rsidRDefault="000259A8" w:rsidP="00C50B64">
      <w:pPr>
        <w:spacing w:line="276" w:lineRule="auto"/>
        <w:jc w:val="both"/>
        <w:rPr>
          <w:bCs/>
          <w:lang w:val="en-US"/>
        </w:rPr>
      </w:pPr>
      <w:r w:rsidRPr="00347D76">
        <w:rPr>
          <w:bCs/>
          <w:lang w:val="en-US"/>
        </w:rPr>
        <w:tab/>
        <w:t>Demonstration of the process followed during 3D-printing using SLA and FDM printers.</w:t>
      </w:r>
    </w:p>
    <w:p w14:paraId="38E00111" w14:textId="77777777" w:rsidR="000259A8" w:rsidRPr="00347D76" w:rsidRDefault="000259A8" w:rsidP="00C50B64">
      <w:pPr>
        <w:spacing w:line="276" w:lineRule="auto"/>
        <w:jc w:val="both"/>
        <w:rPr>
          <w:bCs/>
          <w:i/>
          <w:iCs/>
          <w:lang w:val="en-US"/>
        </w:rPr>
      </w:pPr>
    </w:p>
    <w:p w14:paraId="48BF0A89" w14:textId="511BDB14" w:rsidR="00460589" w:rsidRPr="00347D76" w:rsidRDefault="00460589" w:rsidP="00C50B64">
      <w:pPr>
        <w:spacing w:line="276" w:lineRule="auto"/>
        <w:jc w:val="both"/>
        <w:rPr>
          <w:b/>
          <w:u w:val="single"/>
          <w:lang w:val="en-US"/>
        </w:rPr>
      </w:pPr>
      <w:r w:rsidRPr="00347D76">
        <w:rPr>
          <w:b/>
          <w:u w:val="single"/>
          <w:lang w:val="en-US"/>
        </w:rPr>
        <w:t>Part D. Smartphone-based analysis</w:t>
      </w:r>
    </w:p>
    <w:p w14:paraId="41BFEA9B" w14:textId="77777777" w:rsidR="000259A8" w:rsidRPr="00347D76" w:rsidRDefault="000259A8" w:rsidP="00C50B64">
      <w:pPr>
        <w:spacing w:line="276" w:lineRule="auto"/>
        <w:jc w:val="both"/>
        <w:rPr>
          <w:i/>
          <w:lang w:val="en-US"/>
        </w:rPr>
      </w:pPr>
    </w:p>
    <w:p w14:paraId="668893C4" w14:textId="0C94FE58" w:rsidR="000259A8" w:rsidRPr="00347D76" w:rsidRDefault="000259A8" w:rsidP="00C50B64">
      <w:pPr>
        <w:spacing w:line="276" w:lineRule="auto"/>
        <w:jc w:val="both"/>
        <w:rPr>
          <w:i/>
          <w:lang w:val="en-US"/>
        </w:rPr>
      </w:pPr>
      <w:r w:rsidRPr="00347D76">
        <w:rPr>
          <w:i/>
          <w:lang w:val="en-US"/>
        </w:rPr>
        <w:t>Apparatus &amp; Software</w:t>
      </w:r>
    </w:p>
    <w:p w14:paraId="5B4F87CD" w14:textId="41B6A09F" w:rsidR="000259A8" w:rsidRPr="00347D76" w:rsidRDefault="000259A8" w:rsidP="00C50B64">
      <w:pPr>
        <w:pStyle w:val="ListParagraph"/>
        <w:numPr>
          <w:ilvl w:val="0"/>
          <w:numId w:val="30"/>
        </w:numPr>
        <w:spacing w:line="276" w:lineRule="auto"/>
        <w:jc w:val="both"/>
        <w:rPr>
          <w:iCs/>
          <w:lang w:val="en-US"/>
        </w:rPr>
      </w:pPr>
      <w:r w:rsidRPr="00347D76">
        <w:rPr>
          <w:iCs/>
          <w:lang w:val="en-US"/>
        </w:rPr>
        <w:t>Smartphones</w:t>
      </w:r>
    </w:p>
    <w:p w14:paraId="4AEE2C11" w14:textId="31238A3A" w:rsidR="000259A8" w:rsidRPr="00347D76" w:rsidRDefault="000259A8" w:rsidP="00C50B64">
      <w:pPr>
        <w:pStyle w:val="ListParagraph"/>
        <w:numPr>
          <w:ilvl w:val="0"/>
          <w:numId w:val="30"/>
        </w:numPr>
        <w:spacing w:line="276" w:lineRule="auto"/>
        <w:jc w:val="both"/>
        <w:rPr>
          <w:iCs/>
          <w:lang w:val="en-US"/>
        </w:rPr>
      </w:pPr>
      <w:r w:rsidRPr="00347D76">
        <w:rPr>
          <w:iCs/>
          <w:lang w:val="en-US"/>
        </w:rPr>
        <w:t>In-house smartphone reader for carbofuran screening</w:t>
      </w:r>
    </w:p>
    <w:p w14:paraId="362F788A" w14:textId="2CDB8461" w:rsidR="000259A8" w:rsidRPr="00347D76" w:rsidRDefault="000259A8" w:rsidP="00C50B64">
      <w:pPr>
        <w:pStyle w:val="ListParagraph"/>
        <w:numPr>
          <w:ilvl w:val="0"/>
          <w:numId w:val="30"/>
        </w:numPr>
        <w:spacing w:line="276" w:lineRule="auto"/>
        <w:jc w:val="both"/>
        <w:rPr>
          <w:iCs/>
          <w:lang w:val="en-US"/>
        </w:rPr>
      </w:pPr>
      <w:r w:rsidRPr="00347D76">
        <w:rPr>
          <w:iCs/>
          <w:lang w:val="en-US"/>
        </w:rPr>
        <w:t>RIDA@SMART app for aflatoxin screening</w:t>
      </w:r>
    </w:p>
    <w:p w14:paraId="7C723D99" w14:textId="28624E99" w:rsidR="000259A8" w:rsidRPr="00347D76" w:rsidRDefault="000259A8" w:rsidP="00C50B64">
      <w:pPr>
        <w:pStyle w:val="ListParagraph"/>
        <w:numPr>
          <w:ilvl w:val="0"/>
          <w:numId w:val="30"/>
        </w:numPr>
        <w:spacing w:line="276" w:lineRule="auto"/>
        <w:jc w:val="both"/>
        <w:rPr>
          <w:iCs/>
          <w:lang w:val="en-US"/>
        </w:rPr>
      </w:pPr>
      <w:r w:rsidRPr="00347D76">
        <w:rPr>
          <w:iCs/>
          <w:lang w:val="en-US"/>
        </w:rPr>
        <w:t>Hand-made smar</w:t>
      </w:r>
      <w:r w:rsidR="00F61A26" w:rsidRPr="00347D76">
        <w:rPr>
          <w:iCs/>
          <w:lang w:val="en-US"/>
        </w:rPr>
        <w:t>tphone reader</w:t>
      </w:r>
    </w:p>
    <w:p w14:paraId="5E6E1733" w14:textId="3CE063FB" w:rsidR="00B573B4" w:rsidRPr="00347D76" w:rsidRDefault="00B573B4" w:rsidP="00C50B64">
      <w:pPr>
        <w:pStyle w:val="ListParagraph"/>
        <w:numPr>
          <w:ilvl w:val="0"/>
          <w:numId w:val="30"/>
        </w:numPr>
        <w:spacing w:line="276" w:lineRule="auto"/>
        <w:jc w:val="both"/>
        <w:rPr>
          <w:iCs/>
          <w:lang w:val="en-US"/>
        </w:rPr>
      </w:pPr>
      <w:r w:rsidRPr="00347D76">
        <w:rPr>
          <w:iCs/>
          <w:lang w:val="en-US"/>
        </w:rPr>
        <w:t>ImageJ free software</w:t>
      </w:r>
    </w:p>
    <w:p w14:paraId="7C137C53" w14:textId="1585F917" w:rsidR="00460589" w:rsidRPr="00347D76" w:rsidRDefault="00460589" w:rsidP="00C50B64">
      <w:pPr>
        <w:spacing w:line="276" w:lineRule="auto"/>
        <w:jc w:val="both"/>
        <w:rPr>
          <w:b/>
          <w:u w:val="single"/>
          <w:lang w:val="en-US"/>
        </w:rPr>
      </w:pPr>
    </w:p>
    <w:p w14:paraId="5285307F" w14:textId="53A42774" w:rsidR="00F61A26" w:rsidRPr="00347D76" w:rsidRDefault="00F61A26" w:rsidP="00C50B64">
      <w:pPr>
        <w:spacing w:line="276" w:lineRule="auto"/>
        <w:jc w:val="both"/>
        <w:rPr>
          <w:i/>
          <w:lang w:val="en-US"/>
        </w:rPr>
      </w:pPr>
      <w:r w:rsidRPr="00347D76">
        <w:rPr>
          <w:i/>
          <w:lang w:val="en-US"/>
        </w:rPr>
        <w:t>Lab-on-a-chip injector with smartphone read-out</w:t>
      </w:r>
    </w:p>
    <w:p w14:paraId="4FB1AFCF" w14:textId="24AF38F4" w:rsidR="00F61A26" w:rsidRPr="00347D76" w:rsidRDefault="00A63E36" w:rsidP="00C50B64">
      <w:pPr>
        <w:spacing w:line="276" w:lineRule="auto"/>
        <w:jc w:val="both"/>
        <w:rPr>
          <w:iCs/>
          <w:lang w:val="en-US"/>
        </w:rPr>
      </w:pPr>
      <w:r w:rsidRPr="00347D76">
        <w:rPr>
          <w:iCs/>
          <w:lang w:val="en-US"/>
        </w:rPr>
        <w:tab/>
        <w:t>LOC devices are assembled using the prepared strips (</w:t>
      </w:r>
      <w:r w:rsidR="00B573B4" w:rsidRPr="00347D76">
        <w:rPr>
          <w:iCs/>
          <w:lang w:val="en-US"/>
        </w:rPr>
        <w:t>from</w:t>
      </w:r>
      <w:r w:rsidRPr="00347D76">
        <w:rPr>
          <w:iCs/>
          <w:lang w:val="en-US"/>
        </w:rPr>
        <w:t xml:space="preserve"> Part C). Immobilized AChE activity </w:t>
      </w:r>
      <w:r w:rsidR="00504C63" w:rsidRPr="00347D76">
        <w:rPr>
          <w:iCs/>
          <w:lang w:val="en-US"/>
        </w:rPr>
        <w:t>is</w:t>
      </w:r>
      <w:r w:rsidRPr="00347D76">
        <w:rPr>
          <w:iCs/>
          <w:lang w:val="en-US"/>
        </w:rPr>
        <w:t xml:space="preserve"> measured both in the presence</w:t>
      </w:r>
      <w:r w:rsidR="00DE6436" w:rsidRPr="00347D76">
        <w:rPr>
          <w:iCs/>
          <w:lang w:val="en-US"/>
        </w:rPr>
        <w:t xml:space="preserve"> carbofuran insecticide (</w:t>
      </w:r>
      <w:r w:rsidR="00B573B4" w:rsidRPr="00347D76">
        <w:rPr>
          <w:iCs/>
          <w:lang w:val="en-US"/>
        </w:rPr>
        <w:t>at a specified concentration level</w:t>
      </w:r>
      <w:r w:rsidR="00DE6436" w:rsidRPr="00347D76">
        <w:rPr>
          <w:iCs/>
          <w:lang w:val="en-US"/>
        </w:rPr>
        <w:t>)</w:t>
      </w:r>
      <w:r w:rsidRPr="00347D76">
        <w:rPr>
          <w:iCs/>
          <w:lang w:val="en-US"/>
        </w:rPr>
        <w:t xml:space="preserve"> and absence of an inhibitor</w:t>
      </w:r>
      <w:r w:rsidR="00DE6436" w:rsidRPr="00347D76">
        <w:rPr>
          <w:iCs/>
          <w:lang w:val="en-US"/>
        </w:rPr>
        <w:t xml:space="preserve"> (blank sample)</w:t>
      </w:r>
      <w:r w:rsidRPr="00347D76">
        <w:rPr>
          <w:iCs/>
          <w:lang w:val="en-US"/>
        </w:rPr>
        <w:t xml:space="preserve">, using the Ellman’s assay which is composed of two steps. Firstly, the paper strip </w:t>
      </w:r>
      <w:r w:rsidR="00EE4820" w:rsidRPr="00347D76">
        <w:rPr>
          <w:iCs/>
          <w:lang w:val="en-US"/>
        </w:rPr>
        <w:t>is</w:t>
      </w:r>
      <w:r w:rsidRPr="00347D76">
        <w:rPr>
          <w:iCs/>
          <w:lang w:val="en-US"/>
        </w:rPr>
        <w:t xml:space="preserve"> incubated with a sample for 8 min and then a solution of the enzyme substrate and the chromogenic reagent (</w:t>
      </w:r>
      <w:r w:rsidR="00DE6436" w:rsidRPr="00347D76">
        <w:rPr>
          <w:iCs/>
          <w:lang w:val="en-US"/>
        </w:rPr>
        <w:t xml:space="preserve">75mM </w:t>
      </w:r>
      <w:proofErr w:type="spellStart"/>
      <w:r w:rsidR="00DE6436" w:rsidRPr="00347D76">
        <w:rPr>
          <w:iCs/>
          <w:lang w:val="en-US"/>
        </w:rPr>
        <w:t>BThI</w:t>
      </w:r>
      <w:proofErr w:type="spellEnd"/>
      <w:r w:rsidR="00DE6436" w:rsidRPr="00347D76">
        <w:rPr>
          <w:iCs/>
          <w:lang w:val="en-US"/>
        </w:rPr>
        <w:t>: 7.5mM DTNB, 9:1 (v/v), respectively</w:t>
      </w:r>
      <w:r w:rsidRPr="00347D76">
        <w:rPr>
          <w:iCs/>
          <w:lang w:val="en-US"/>
        </w:rPr>
        <w:t xml:space="preserve">) </w:t>
      </w:r>
      <w:r w:rsidR="00504C63" w:rsidRPr="00347D76">
        <w:rPr>
          <w:iCs/>
          <w:lang w:val="en-US"/>
        </w:rPr>
        <w:t>is</w:t>
      </w:r>
      <w:r w:rsidRPr="00347D76">
        <w:rPr>
          <w:iCs/>
          <w:lang w:val="en-US"/>
        </w:rPr>
        <w:t xml:space="preserve"> added, and the yellow color development </w:t>
      </w:r>
      <w:r w:rsidR="00504C63" w:rsidRPr="00347D76">
        <w:rPr>
          <w:iCs/>
          <w:lang w:val="en-US"/>
        </w:rPr>
        <w:t>is</w:t>
      </w:r>
      <w:r w:rsidRPr="00347D76">
        <w:rPr>
          <w:iCs/>
          <w:lang w:val="en-US"/>
        </w:rPr>
        <w:t xml:space="preserve"> monitored </w:t>
      </w:r>
      <w:r w:rsidR="00B573B4" w:rsidRPr="00347D76">
        <w:rPr>
          <w:iCs/>
          <w:lang w:val="en-US"/>
        </w:rPr>
        <w:t>after 2</w:t>
      </w:r>
      <w:r w:rsidRPr="00347D76">
        <w:rPr>
          <w:iCs/>
          <w:lang w:val="en-US"/>
        </w:rPr>
        <w:t xml:space="preserve"> mins using the 3D-printed smartphone reader.</w:t>
      </w:r>
      <w:r w:rsidR="00504C63" w:rsidRPr="00347D76">
        <w:rPr>
          <w:iCs/>
          <w:lang w:val="en-US"/>
        </w:rPr>
        <w:t xml:space="preserve"> Finally, demonstration of the image data processing using ImageJ free software is presented</w:t>
      </w:r>
    </w:p>
    <w:p w14:paraId="6BC5CF79" w14:textId="77777777" w:rsidR="00A63E36" w:rsidRPr="00347D76" w:rsidRDefault="00A63E36" w:rsidP="00C50B64">
      <w:pPr>
        <w:spacing w:line="276" w:lineRule="auto"/>
        <w:jc w:val="both"/>
        <w:rPr>
          <w:i/>
          <w:lang w:val="en-US"/>
        </w:rPr>
      </w:pPr>
    </w:p>
    <w:p w14:paraId="09AC3D9D" w14:textId="65B855F0" w:rsidR="00F61A26" w:rsidRPr="00347D76" w:rsidRDefault="00F61A26" w:rsidP="00C50B64">
      <w:pPr>
        <w:spacing w:line="276" w:lineRule="auto"/>
        <w:jc w:val="both"/>
        <w:rPr>
          <w:i/>
          <w:lang w:val="en-US"/>
        </w:rPr>
      </w:pPr>
      <w:r w:rsidRPr="00347D76">
        <w:rPr>
          <w:i/>
          <w:lang w:val="en-US"/>
        </w:rPr>
        <w:t>RIDA QUICK smartphone-based aflatoxin test</w:t>
      </w:r>
    </w:p>
    <w:p w14:paraId="2E59F626" w14:textId="38169680" w:rsidR="00F61A26" w:rsidRPr="00347D76" w:rsidRDefault="00F61A26" w:rsidP="00C50B64">
      <w:pPr>
        <w:spacing w:line="276" w:lineRule="auto"/>
        <w:jc w:val="both"/>
        <w:rPr>
          <w:iCs/>
          <w:lang w:val="en-US"/>
        </w:rPr>
      </w:pPr>
      <w:r w:rsidRPr="00347D76">
        <w:rPr>
          <w:iCs/>
          <w:lang w:val="en-US"/>
        </w:rPr>
        <w:tab/>
        <w:t>This is a commercial smartphone-based test called RIDA QUICK Aflatoxin based on a LF immunoassay</w:t>
      </w:r>
      <w:r w:rsidR="00B573B4" w:rsidRPr="00347D76">
        <w:rPr>
          <w:iCs/>
          <w:lang w:val="en-US"/>
        </w:rPr>
        <w:t xml:space="preserve"> </w:t>
      </w:r>
      <w:r w:rsidRPr="00347D76">
        <w:rPr>
          <w:iCs/>
          <w:lang w:val="en-US"/>
        </w:rPr>
        <w:t xml:space="preserve">for aflatoxin screening in corn. The test uses an aqueous extraction method. More information regarding the test can be found in the link, </w:t>
      </w:r>
      <w:hyperlink r:id="rId17" w:history="1">
        <w:r w:rsidRPr="00347D76">
          <w:rPr>
            <w:rStyle w:val="Hyperlink"/>
            <w:iCs/>
            <w:lang w:val="en-US"/>
          </w:rPr>
          <w:t>https://food.r-biopharm.com/products/ridaquick-aflatoxin-rqs-eco-2/</w:t>
        </w:r>
      </w:hyperlink>
      <w:r w:rsidRPr="00347D76">
        <w:rPr>
          <w:iCs/>
          <w:lang w:val="en-US"/>
        </w:rPr>
        <w:t>, last accessed 18/09/2020.</w:t>
      </w:r>
    </w:p>
    <w:p w14:paraId="35EFE648" w14:textId="77777777" w:rsidR="00F61A26" w:rsidRPr="00347D76" w:rsidRDefault="00F61A26" w:rsidP="00C50B64">
      <w:pPr>
        <w:spacing w:line="276" w:lineRule="auto"/>
        <w:jc w:val="both"/>
        <w:rPr>
          <w:iCs/>
          <w:lang w:val="en-US"/>
        </w:rPr>
      </w:pPr>
    </w:p>
    <w:p w14:paraId="1F5505CB" w14:textId="48692A22" w:rsidR="00F61A26" w:rsidRPr="00347D76" w:rsidRDefault="00F61A26" w:rsidP="00C50B64">
      <w:pPr>
        <w:spacing w:line="276" w:lineRule="auto"/>
        <w:jc w:val="both"/>
        <w:rPr>
          <w:i/>
          <w:lang w:val="en-US"/>
        </w:rPr>
      </w:pPr>
      <w:r w:rsidRPr="00347D76">
        <w:rPr>
          <w:i/>
          <w:lang w:val="en-US"/>
        </w:rPr>
        <w:t>Beer’s Law and Absorption Spectrophotometry with a smartphone</w:t>
      </w:r>
    </w:p>
    <w:p w14:paraId="05824581" w14:textId="0021BEA3" w:rsidR="00F61A26" w:rsidRPr="00347D76" w:rsidRDefault="00A63E36" w:rsidP="00C50B64">
      <w:pPr>
        <w:spacing w:line="276" w:lineRule="auto"/>
        <w:jc w:val="both"/>
        <w:rPr>
          <w:iCs/>
          <w:lang w:val="en-US"/>
        </w:rPr>
      </w:pPr>
      <w:r w:rsidRPr="00347D76">
        <w:rPr>
          <w:iCs/>
          <w:lang w:val="en-US"/>
        </w:rPr>
        <w:tab/>
        <w:t xml:space="preserve">The application of the Beer’s law using a handmade smartphone-based reader is demonstrated. In this way, various dilutions of a yellow food colorant (100% colorant, 75% colorant, 50% colorant, 25% colorant, 0% colorant) with deionized water will be used to construct a calibration curve. </w:t>
      </w:r>
      <w:r w:rsidR="00DE6436" w:rsidRPr="00347D76">
        <w:rPr>
          <w:iCs/>
          <w:lang w:val="en-US"/>
        </w:rPr>
        <w:t xml:space="preserve">Students will use their own smartphones to take pictures of the </w:t>
      </w:r>
      <w:r w:rsidR="00B573B4" w:rsidRPr="00347D76">
        <w:rPr>
          <w:iCs/>
          <w:lang w:val="en-US"/>
        </w:rPr>
        <w:t>cuvette containing the colorant solutions.</w:t>
      </w:r>
    </w:p>
    <w:bookmarkEnd w:id="3"/>
    <w:bookmarkEnd w:id="4"/>
    <w:bookmarkEnd w:id="5"/>
    <w:p w14:paraId="1DF72475" w14:textId="7C4FCF80" w:rsidR="00A63E36" w:rsidRPr="00347D76" w:rsidRDefault="00A63E36" w:rsidP="00C50B64">
      <w:pPr>
        <w:widowControl/>
        <w:overflowPunct/>
        <w:autoSpaceDE/>
        <w:autoSpaceDN/>
        <w:adjustRightInd/>
        <w:jc w:val="both"/>
        <w:textAlignment w:val="auto"/>
        <w:rPr>
          <w:b/>
          <w:iCs/>
          <w:kern w:val="28"/>
          <w:sz w:val="28"/>
          <w:szCs w:val="28"/>
          <w:lang w:val="en-US"/>
        </w:rPr>
      </w:pPr>
    </w:p>
    <w:p w14:paraId="4BE75C07" w14:textId="77777777" w:rsidR="00DE6436" w:rsidRPr="00347D76" w:rsidRDefault="0008444F" w:rsidP="00C50B64">
      <w:pPr>
        <w:pStyle w:val="Heading1"/>
        <w:jc w:val="both"/>
        <w:rPr>
          <w:lang w:val="en-US"/>
        </w:rPr>
      </w:pPr>
      <w:r w:rsidRPr="00347D76">
        <w:rPr>
          <w:lang w:val="en-US"/>
        </w:rPr>
        <w:t>REPORTING</w:t>
      </w:r>
    </w:p>
    <w:p w14:paraId="785315C1" w14:textId="77777777" w:rsidR="00DE6436" w:rsidRPr="00347D76" w:rsidRDefault="00DE6436" w:rsidP="00C50B64">
      <w:pPr>
        <w:pStyle w:val="ListParagraph"/>
        <w:spacing w:line="276" w:lineRule="auto"/>
        <w:ind w:left="426"/>
        <w:jc w:val="both"/>
        <w:rPr>
          <w:lang w:val="en-US"/>
        </w:rPr>
      </w:pPr>
    </w:p>
    <w:p w14:paraId="5625E97F" w14:textId="69407CD4" w:rsidR="0018582D" w:rsidRPr="00347D76" w:rsidRDefault="0039052A" w:rsidP="00C50B64">
      <w:pPr>
        <w:pStyle w:val="ListParagraph"/>
        <w:spacing w:line="276" w:lineRule="auto"/>
        <w:ind w:left="426"/>
        <w:jc w:val="both"/>
        <w:rPr>
          <w:b/>
          <w:bCs/>
          <w:lang w:val="en-US"/>
        </w:rPr>
      </w:pPr>
      <w:r w:rsidRPr="00347D76">
        <w:rPr>
          <w:b/>
          <w:bCs/>
          <w:lang w:val="en-US"/>
        </w:rPr>
        <w:t>Full Name, Team</w:t>
      </w:r>
      <w:r w:rsidR="0018582D" w:rsidRPr="00347D76">
        <w:rPr>
          <w:b/>
          <w:bCs/>
          <w:lang w:val="en-US"/>
        </w:rPr>
        <w:t xml:space="preserve"> </w:t>
      </w:r>
    </w:p>
    <w:p w14:paraId="1ED26969" w14:textId="77777777" w:rsidR="0018582D" w:rsidRPr="00347D76" w:rsidRDefault="0018582D" w:rsidP="00C50B64">
      <w:pPr>
        <w:pStyle w:val="ListParagraph"/>
        <w:spacing w:line="276" w:lineRule="auto"/>
        <w:ind w:left="426"/>
        <w:jc w:val="both"/>
        <w:rPr>
          <w:b/>
          <w:bCs/>
          <w:lang w:val="en-US"/>
        </w:rPr>
      </w:pPr>
    </w:p>
    <w:p w14:paraId="2F26FF8C" w14:textId="2676836D" w:rsidR="00B27563" w:rsidRPr="00347D76" w:rsidRDefault="00B27563" w:rsidP="00C50B64">
      <w:pPr>
        <w:pStyle w:val="ListParagraph"/>
        <w:spacing w:line="276" w:lineRule="auto"/>
        <w:ind w:left="426"/>
        <w:jc w:val="both"/>
        <w:rPr>
          <w:b/>
          <w:bCs/>
          <w:lang w:val="en-US"/>
        </w:rPr>
      </w:pPr>
      <w:r w:rsidRPr="00347D76">
        <w:rPr>
          <w:b/>
          <w:bCs/>
          <w:lang w:val="en-US"/>
        </w:rPr>
        <w:t>PART A</w:t>
      </w:r>
    </w:p>
    <w:p w14:paraId="093E8892" w14:textId="777265C6" w:rsidR="00B27563" w:rsidRPr="00347D76" w:rsidRDefault="00B27563" w:rsidP="00C50B64">
      <w:pPr>
        <w:pStyle w:val="ListParagraph"/>
        <w:numPr>
          <w:ilvl w:val="0"/>
          <w:numId w:val="26"/>
        </w:numPr>
        <w:spacing w:line="276" w:lineRule="auto"/>
        <w:jc w:val="both"/>
        <w:rPr>
          <w:lang w:val="en-US"/>
        </w:rPr>
      </w:pPr>
      <w:r w:rsidRPr="00347D76">
        <w:rPr>
          <w:lang w:val="en-US"/>
        </w:rPr>
        <w:t>Which is the most suitable AChE substrate and why?</w:t>
      </w:r>
    </w:p>
    <w:p w14:paraId="7AB74839" w14:textId="1FCE040B" w:rsidR="00B27563" w:rsidRPr="00347D76" w:rsidRDefault="00B27563" w:rsidP="00C50B64">
      <w:pPr>
        <w:pStyle w:val="ListParagraph"/>
        <w:numPr>
          <w:ilvl w:val="0"/>
          <w:numId w:val="26"/>
        </w:numPr>
        <w:spacing w:line="276" w:lineRule="auto"/>
        <w:jc w:val="both"/>
        <w:rPr>
          <w:lang w:val="en-US"/>
        </w:rPr>
      </w:pPr>
      <w:r w:rsidRPr="00347D76">
        <w:rPr>
          <w:lang w:val="en-US"/>
        </w:rPr>
        <w:t>Calculate the IC</w:t>
      </w:r>
      <w:r w:rsidRPr="00347D76">
        <w:rPr>
          <w:vertAlign w:val="subscript"/>
          <w:lang w:val="en-US"/>
        </w:rPr>
        <w:t>50</w:t>
      </w:r>
      <w:r w:rsidRPr="00347D76">
        <w:rPr>
          <w:lang w:val="en-US"/>
        </w:rPr>
        <w:t xml:space="preserve"> values of all inhibitors</w:t>
      </w:r>
      <w:r w:rsidR="00C954EF" w:rsidRPr="00347D76">
        <w:rPr>
          <w:lang w:val="en-US"/>
        </w:rPr>
        <w:t xml:space="preserve"> using this online tool, </w:t>
      </w:r>
      <w:hyperlink r:id="rId18" w:history="1">
        <w:r w:rsidR="00C954EF" w:rsidRPr="00347D76">
          <w:rPr>
            <w:rStyle w:val="Hyperlink"/>
            <w:lang w:val="en-US"/>
          </w:rPr>
          <w:t>https://www.aatbio.com/tools/ic50-calculator</w:t>
        </w:r>
      </w:hyperlink>
      <w:r w:rsidR="00C954EF" w:rsidRPr="00347D76">
        <w:rPr>
          <w:lang w:val="en-US"/>
        </w:rPr>
        <w:t xml:space="preserve"> </w:t>
      </w:r>
    </w:p>
    <w:p w14:paraId="1B40FC16" w14:textId="249DD7E0" w:rsidR="00B27563" w:rsidRPr="00347D76" w:rsidRDefault="00B27563" w:rsidP="00C50B64">
      <w:pPr>
        <w:pStyle w:val="ListParagraph"/>
        <w:numPr>
          <w:ilvl w:val="0"/>
          <w:numId w:val="26"/>
        </w:numPr>
        <w:spacing w:line="276" w:lineRule="auto"/>
        <w:jc w:val="both"/>
        <w:rPr>
          <w:lang w:val="en-US"/>
        </w:rPr>
      </w:pPr>
      <w:r w:rsidRPr="00347D76">
        <w:rPr>
          <w:lang w:val="en-US"/>
        </w:rPr>
        <w:t>Calculate IC</w:t>
      </w:r>
      <w:r w:rsidRPr="00347D76">
        <w:rPr>
          <w:vertAlign w:val="subscript"/>
          <w:lang w:val="en-US"/>
        </w:rPr>
        <w:t>50</w:t>
      </w:r>
      <w:r w:rsidRPr="00347D76">
        <w:rPr>
          <w:lang w:val="en-US"/>
        </w:rPr>
        <w:t xml:space="preserve"> of carbofuran in diluted apple juice</w:t>
      </w:r>
      <w:r w:rsidR="00C954EF" w:rsidRPr="00347D76">
        <w:rPr>
          <w:lang w:val="en-US"/>
        </w:rPr>
        <w:t xml:space="preserve"> using the aforementioned tool and provide the inhibition curve. </w:t>
      </w:r>
    </w:p>
    <w:p w14:paraId="7CC76A05" w14:textId="77777777" w:rsidR="00B27563" w:rsidRPr="00347D76" w:rsidRDefault="00B27563" w:rsidP="00C50B64">
      <w:pPr>
        <w:pStyle w:val="ListParagraph"/>
        <w:spacing w:line="276" w:lineRule="auto"/>
        <w:ind w:left="426"/>
        <w:jc w:val="both"/>
        <w:rPr>
          <w:lang w:val="en-US"/>
        </w:rPr>
      </w:pPr>
    </w:p>
    <w:p w14:paraId="0E962C67" w14:textId="1AC0BC7E" w:rsidR="008D071C" w:rsidRPr="00347D76" w:rsidRDefault="008D071C" w:rsidP="00C50B64">
      <w:pPr>
        <w:pStyle w:val="ListParagraph"/>
        <w:spacing w:line="276" w:lineRule="auto"/>
        <w:ind w:left="426"/>
        <w:jc w:val="both"/>
        <w:rPr>
          <w:b/>
          <w:bCs/>
          <w:lang w:val="en-US"/>
        </w:rPr>
      </w:pPr>
      <w:r w:rsidRPr="00347D76">
        <w:rPr>
          <w:b/>
          <w:bCs/>
          <w:lang w:val="en-US"/>
        </w:rPr>
        <w:t>PART B</w:t>
      </w:r>
    </w:p>
    <w:p w14:paraId="0A44B3A9" w14:textId="0B3846CA" w:rsidR="008D071C" w:rsidRPr="00347D76" w:rsidRDefault="00C10DBA" w:rsidP="00C50B64">
      <w:pPr>
        <w:pStyle w:val="ListParagraph"/>
        <w:numPr>
          <w:ilvl w:val="0"/>
          <w:numId w:val="27"/>
        </w:numPr>
        <w:spacing w:line="276" w:lineRule="auto"/>
        <w:jc w:val="both"/>
        <w:rPr>
          <w:lang w:val="en-US"/>
        </w:rPr>
      </w:pPr>
      <w:r w:rsidRPr="00347D76">
        <w:rPr>
          <w:lang w:val="en-US"/>
        </w:rPr>
        <w:t>List advantages and drawbacks of physical adsorption principle using a table format?</w:t>
      </w:r>
    </w:p>
    <w:p w14:paraId="72D530CB" w14:textId="30757A69" w:rsidR="00C10DBA" w:rsidRPr="00347D76" w:rsidRDefault="008D071C" w:rsidP="00C50B64">
      <w:pPr>
        <w:pStyle w:val="ListParagraph"/>
        <w:numPr>
          <w:ilvl w:val="0"/>
          <w:numId w:val="27"/>
        </w:numPr>
        <w:spacing w:line="276" w:lineRule="auto"/>
        <w:jc w:val="both"/>
        <w:rPr>
          <w:lang w:val="en-US"/>
        </w:rPr>
      </w:pPr>
      <w:r w:rsidRPr="00347D76">
        <w:rPr>
          <w:lang w:val="en-US"/>
        </w:rPr>
        <w:t>Which are the merits of using wax-printing?</w:t>
      </w:r>
    </w:p>
    <w:p w14:paraId="25E5CFC9" w14:textId="3D199E5F" w:rsidR="00C10DBA" w:rsidRPr="00347D76" w:rsidRDefault="00C10DBA" w:rsidP="00C50B64">
      <w:pPr>
        <w:spacing w:line="276" w:lineRule="auto"/>
        <w:jc w:val="both"/>
        <w:rPr>
          <w:lang w:val="en-US"/>
        </w:rPr>
      </w:pPr>
    </w:p>
    <w:p w14:paraId="2403090C" w14:textId="563D1EC5" w:rsidR="00D1233C" w:rsidRPr="00347D76" w:rsidRDefault="00D1233C" w:rsidP="00C50B64">
      <w:pPr>
        <w:pStyle w:val="ListParagraph"/>
        <w:spacing w:line="276" w:lineRule="auto"/>
        <w:ind w:left="426"/>
        <w:jc w:val="both"/>
        <w:rPr>
          <w:b/>
          <w:bCs/>
          <w:lang w:val="en-US"/>
        </w:rPr>
      </w:pPr>
      <w:r w:rsidRPr="00347D76">
        <w:rPr>
          <w:b/>
          <w:bCs/>
          <w:lang w:val="en-US"/>
        </w:rPr>
        <w:t>PART C</w:t>
      </w:r>
    </w:p>
    <w:p w14:paraId="1ADD79A8" w14:textId="4F779372" w:rsidR="00C10DBA" w:rsidRPr="00347D76" w:rsidRDefault="00D1233C" w:rsidP="00C50B64">
      <w:pPr>
        <w:spacing w:line="276" w:lineRule="auto"/>
        <w:jc w:val="both"/>
        <w:rPr>
          <w:lang w:val="en-US"/>
        </w:rPr>
      </w:pPr>
      <w:r w:rsidRPr="00347D76">
        <w:rPr>
          <w:lang w:val="en-US"/>
        </w:rPr>
        <w:tab/>
        <w:t>Follow the step-by-step instructions provided to</w:t>
      </w:r>
      <w:r w:rsidR="0018582D" w:rsidRPr="00347D76">
        <w:rPr>
          <w:lang w:val="en-US"/>
        </w:rPr>
        <w:t xml:space="preserve"> practice on the</w:t>
      </w:r>
      <w:r w:rsidRPr="00347D76">
        <w:rPr>
          <w:lang w:val="en-US"/>
        </w:rPr>
        <w:t xml:space="preserve"> design </w:t>
      </w:r>
      <w:r w:rsidR="0018582D" w:rsidRPr="00347D76">
        <w:rPr>
          <w:lang w:val="en-US"/>
        </w:rPr>
        <w:t>of</w:t>
      </w:r>
      <w:r w:rsidRPr="00347D76">
        <w:rPr>
          <w:lang w:val="en-US"/>
        </w:rPr>
        <w:t xml:space="preserve"> LOC device</w:t>
      </w:r>
      <w:r w:rsidR="0018582D" w:rsidRPr="00347D76">
        <w:rPr>
          <w:lang w:val="en-US"/>
        </w:rPr>
        <w:t>s</w:t>
      </w:r>
      <w:r w:rsidRPr="00347D76">
        <w:rPr>
          <w:lang w:val="en-US"/>
        </w:rPr>
        <w:t xml:space="preserve"> using Fusion 360 CAD software</w:t>
      </w:r>
      <w:r w:rsidR="002D40E5" w:rsidRPr="00347D76">
        <w:rPr>
          <w:lang w:val="en-US"/>
        </w:rPr>
        <w:t xml:space="preserve"> (optional activity)</w:t>
      </w:r>
      <w:r w:rsidRPr="00347D76">
        <w:rPr>
          <w:lang w:val="en-US"/>
        </w:rPr>
        <w:t xml:space="preserve">. </w:t>
      </w:r>
    </w:p>
    <w:p w14:paraId="5A7C322B" w14:textId="67D13A87" w:rsidR="00D1233C" w:rsidRPr="00347D76" w:rsidRDefault="00D1233C" w:rsidP="00C50B64">
      <w:pPr>
        <w:spacing w:line="276" w:lineRule="auto"/>
        <w:jc w:val="both"/>
        <w:rPr>
          <w:lang w:val="en-US"/>
        </w:rPr>
      </w:pPr>
    </w:p>
    <w:p w14:paraId="2093FA28" w14:textId="10E853B2" w:rsidR="00F61A26" w:rsidRPr="00347D76" w:rsidRDefault="00F61A26" w:rsidP="00C50B64">
      <w:pPr>
        <w:pStyle w:val="ListParagraph"/>
        <w:spacing w:line="276" w:lineRule="auto"/>
        <w:ind w:left="426"/>
        <w:jc w:val="both"/>
        <w:rPr>
          <w:b/>
          <w:bCs/>
          <w:lang w:val="en-US"/>
        </w:rPr>
      </w:pPr>
      <w:r w:rsidRPr="00347D76">
        <w:rPr>
          <w:b/>
          <w:bCs/>
          <w:lang w:val="en-US"/>
        </w:rPr>
        <w:t>PART D</w:t>
      </w:r>
    </w:p>
    <w:p w14:paraId="79137A24" w14:textId="327B9554" w:rsidR="00DE6436" w:rsidRPr="00347D76" w:rsidRDefault="00DE6436" w:rsidP="00C50B64">
      <w:pPr>
        <w:spacing w:before="120" w:line="276" w:lineRule="auto"/>
        <w:ind w:left="360"/>
        <w:jc w:val="both"/>
        <w:rPr>
          <w:lang w:val="en-US"/>
        </w:rPr>
      </w:pPr>
      <w:r w:rsidRPr="00347D76">
        <w:rPr>
          <w:lang w:val="en-US"/>
        </w:rPr>
        <w:t xml:space="preserve">Plot a calibration curve using the recorded </w:t>
      </w:r>
      <w:r w:rsidR="00B573B4" w:rsidRPr="00347D76">
        <w:rPr>
          <w:lang w:val="en-US"/>
        </w:rPr>
        <w:t>RGB values from your smartphones</w:t>
      </w:r>
      <w:r w:rsidR="00C954EF" w:rsidRPr="00347D76">
        <w:rPr>
          <w:lang w:val="en-US"/>
        </w:rPr>
        <w:t xml:space="preserve"> and provide the graph</w:t>
      </w:r>
      <w:r w:rsidRPr="00347D76">
        <w:rPr>
          <w:lang w:val="en-US"/>
        </w:rPr>
        <w:t>.</w:t>
      </w:r>
    </w:p>
    <w:p w14:paraId="67AE4577" w14:textId="77777777" w:rsidR="00DE6436" w:rsidRPr="00347D76" w:rsidRDefault="00DE6436" w:rsidP="00C50B64">
      <w:pPr>
        <w:spacing w:before="120" w:line="276" w:lineRule="auto"/>
        <w:ind w:left="360"/>
        <w:jc w:val="both"/>
        <w:rPr>
          <w:lang w:val="en-US"/>
        </w:rPr>
      </w:pPr>
    </w:p>
    <w:tbl>
      <w:tblPr>
        <w:tblW w:w="4673" w:type="dxa"/>
        <w:jc w:val="center"/>
        <w:tblLook w:val="04A0" w:firstRow="1" w:lastRow="0" w:firstColumn="1" w:lastColumn="0" w:noHBand="0" w:noVBand="1"/>
      </w:tblPr>
      <w:tblGrid>
        <w:gridCol w:w="1776"/>
        <w:gridCol w:w="2897"/>
      </w:tblGrid>
      <w:tr w:rsidR="00DE6436" w:rsidRPr="00347D76" w14:paraId="466C2F6B" w14:textId="77777777" w:rsidTr="00B573B4">
        <w:trPr>
          <w:trHeight w:val="324"/>
          <w:jc w:val="center"/>
        </w:trPr>
        <w:tc>
          <w:tcPr>
            <w:tcW w:w="1776" w:type="dxa"/>
            <w:tcBorders>
              <w:top w:val="single" w:sz="4" w:space="0" w:color="auto"/>
              <w:left w:val="nil"/>
              <w:bottom w:val="single" w:sz="4" w:space="0" w:color="auto"/>
              <w:right w:val="nil"/>
            </w:tcBorders>
            <w:shd w:val="clear" w:color="auto" w:fill="auto"/>
            <w:noWrap/>
            <w:vAlign w:val="center"/>
            <w:hideMark/>
          </w:tcPr>
          <w:p w14:paraId="6713545B" w14:textId="77777777" w:rsidR="00DE6436" w:rsidRPr="00347D76" w:rsidRDefault="00DE6436" w:rsidP="00C50B64">
            <w:pPr>
              <w:widowControl/>
              <w:overflowPunct/>
              <w:autoSpaceDE/>
              <w:autoSpaceDN/>
              <w:adjustRightInd/>
              <w:jc w:val="both"/>
              <w:textAlignment w:val="auto"/>
              <w:rPr>
                <w:rFonts w:ascii="Calibri" w:hAnsi="Calibri" w:cs="Calibri"/>
                <w:color w:val="000000"/>
                <w:szCs w:val="24"/>
                <w:lang w:val="en-US" w:eastAsia="en-GB"/>
              </w:rPr>
            </w:pPr>
            <w:r w:rsidRPr="00347D76">
              <w:rPr>
                <w:rFonts w:ascii="Calibri" w:hAnsi="Calibri" w:cs="Calibri"/>
                <w:color w:val="000000"/>
                <w:szCs w:val="24"/>
                <w:lang w:val="en-US" w:eastAsia="en-GB"/>
              </w:rPr>
              <w:t>colorant %</w:t>
            </w:r>
          </w:p>
        </w:tc>
        <w:tc>
          <w:tcPr>
            <w:tcW w:w="2897" w:type="dxa"/>
            <w:tcBorders>
              <w:top w:val="single" w:sz="4" w:space="0" w:color="auto"/>
              <w:left w:val="nil"/>
              <w:bottom w:val="single" w:sz="4" w:space="0" w:color="auto"/>
              <w:right w:val="nil"/>
            </w:tcBorders>
            <w:shd w:val="clear" w:color="auto" w:fill="auto"/>
            <w:noWrap/>
            <w:vAlign w:val="center"/>
            <w:hideMark/>
          </w:tcPr>
          <w:p w14:paraId="6B982263" w14:textId="321CF37F" w:rsidR="00DE6436" w:rsidRPr="00347D76" w:rsidRDefault="00DE6436" w:rsidP="00C50B64">
            <w:pPr>
              <w:widowControl/>
              <w:overflowPunct/>
              <w:autoSpaceDE/>
              <w:autoSpaceDN/>
              <w:adjustRightInd/>
              <w:jc w:val="both"/>
              <w:textAlignment w:val="auto"/>
              <w:rPr>
                <w:rFonts w:ascii="Calibri" w:hAnsi="Calibri" w:cs="Calibri"/>
                <w:color w:val="000000"/>
                <w:szCs w:val="24"/>
                <w:lang w:val="en-US" w:eastAsia="en-GB"/>
              </w:rPr>
            </w:pPr>
            <w:r w:rsidRPr="00347D76">
              <w:rPr>
                <w:rFonts w:ascii="Calibri" w:hAnsi="Calibri" w:cs="Calibri"/>
                <w:color w:val="000000"/>
                <w:szCs w:val="24"/>
                <w:lang w:val="en-US" w:eastAsia="en-GB"/>
              </w:rPr>
              <w:t>Blue channel counts</w:t>
            </w:r>
            <w:r w:rsidR="00B573B4" w:rsidRPr="00347D76">
              <w:rPr>
                <w:rFonts w:ascii="Calibri" w:hAnsi="Calibri" w:cs="Calibri"/>
                <w:color w:val="000000"/>
                <w:szCs w:val="24"/>
                <w:lang w:val="en-US" w:eastAsia="en-GB"/>
              </w:rPr>
              <w:t xml:space="preserve"> (n=3 per point)</w:t>
            </w:r>
          </w:p>
        </w:tc>
      </w:tr>
      <w:tr w:rsidR="00DE6436" w:rsidRPr="00347D76" w14:paraId="40A80C4E" w14:textId="77777777" w:rsidTr="00B573B4">
        <w:trPr>
          <w:trHeight w:val="324"/>
          <w:jc w:val="center"/>
        </w:trPr>
        <w:tc>
          <w:tcPr>
            <w:tcW w:w="1776" w:type="dxa"/>
            <w:tcBorders>
              <w:top w:val="single" w:sz="4" w:space="0" w:color="auto"/>
              <w:left w:val="nil"/>
              <w:bottom w:val="nil"/>
              <w:right w:val="nil"/>
            </w:tcBorders>
            <w:shd w:val="clear" w:color="auto" w:fill="auto"/>
            <w:noWrap/>
            <w:vAlign w:val="center"/>
            <w:hideMark/>
          </w:tcPr>
          <w:p w14:paraId="3F63F4A9" w14:textId="77777777" w:rsidR="00DE6436" w:rsidRPr="00347D76" w:rsidRDefault="00DE6436" w:rsidP="00C50B64">
            <w:pPr>
              <w:widowControl/>
              <w:overflowPunct/>
              <w:autoSpaceDE/>
              <w:autoSpaceDN/>
              <w:adjustRightInd/>
              <w:jc w:val="both"/>
              <w:textAlignment w:val="auto"/>
              <w:rPr>
                <w:rFonts w:ascii="Calibri" w:hAnsi="Calibri" w:cs="Calibri"/>
                <w:color w:val="000000"/>
                <w:szCs w:val="24"/>
                <w:lang w:val="en-US" w:eastAsia="en-GB"/>
              </w:rPr>
            </w:pPr>
            <w:r w:rsidRPr="00347D76">
              <w:rPr>
                <w:rFonts w:ascii="Calibri" w:hAnsi="Calibri" w:cs="Calibri"/>
                <w:color w:val="000000"/>
                <w:szCs w:val="24"/>
                <w:lang w:val="en-US" w:eastAsia="en-GB"/>
              </w:rPr>
              <w:t>0</w:t>
            </w:r>
          </w:p>
        </w:tc>
        <w:tc>
          <w:tcPr>
            <w:tcW w:w="2897" w:type="dxa"/>
            <w:tcBorders>
              <w:top w:val="single" w:sz="4" w:space="0" w:color="auto"/>
              <w:left w:val="nil"/>
              <w:bottom w:val="nil"/>
              <w:right w:val="nil"/>
            </w:tcBorders>
            <w:shd w:val="clear" w:color="auto" w:fill="auto"/>
            <w:noWrap/>
            <w:vAlign w:val="center"/>
            <w:hideMark/>
          </w:tcPr>
          <w:p w14:paraId="78ADDA99" w14:textId="77777777" w:rsidR="00DE6436" w:rsidRPr="00347D76" w:rsidRDefault="00DE6436" w:rsidP="00C50B64">
            <w:pPr>
              <w:widowControl/>
              <w:overflowPunct/>
              <w:autoSpaceDE/>
              <w:autoSpaceDN/>
              <w:adjustRightInd/>
              <w:jc w:val="both"/>
              <w:textAlignment w:val="auto"/>
              <w:rPr>
                <w:rFonts w:ascii="Calibri" w:hAnsi="Calibri" w:cs="Calibri"/>
                <w:color w:val="000000"/>
                <w:szCs w:val="24"/>
                <w:lang w:val="en-US" w:eastAsia="en-GB"/>
              </w:rPr>
            </w:pPr>
          </w:p>
        </w:tc>
      </w:tr>
      <w:tr w:rsidR="00DE6436" w:rsidRPr="00347D76" w14:paraId="25BAD7B3" w14:textId="77777777" w:rsidTr="00B573B4">
        <w:trPr>
          <w:trHeight w:val="324"/>
          <w:jc w:val="center"/>
        </w:trPr>
        <w:tc>
          <w:tcPr>
            <w:tcW w:w="1776" w:type="dxa"/>
            <w:tcBorders>
              <w:top w:val="nil"/>
              <w:left w:val="nil"/>
              <w:bottom w:val="nil"/>
              <w:right w:val="nil"/>
            </w:tcBorders>
            <w:shd w:val="clear" w:color="auto" w:fill="auto"/>
            <w:noWrap/>
            <w:vAlign w:val="center"/>
            <w:hideMark/>
          </w:tcPr>
          <w:p w14:paraId="09ECD565" w14:textId="77777777" w:rsidR="00DE6436" w:rsidRPr="00347D76" w:rsidRDefault="00DE6436" w:rsidP="00C50B64">
            <w:pPr>
              <w:widowControl/>
              <w:overflowPunct/>
              <w:autoSpaceDE/>
              <w:autoSpaceDN/>
              <w:adjustRightInd/>
              <w:jc w:val="both"/>
              <w:textAlignment w:val="auto"/>
              <w:rPr>
                <w:rFonts w:ascii="Calibri" w:hAnsi="Calibri" w:cs="Calibri"/>
                <w:color w:val="000000"/>
                <w:szCs w:val="24"/>
                <w:lang w:val="en-US" w:eastAsia="en-GB"/>
              </w:rPr>
            </w:pPr>
            <w:r w:rsidRPr="00347D76">
              <w:rPr>
                <w:rFonts w:ascii="Calibri" w:hAnsi="Calibri" w:cs="Calibri"/>
                <w:color w:val="000000"/>
                <w:szCs w:val="24"/>
                <w:lang w:val="en-US" w:eastAsia="en-GB"/>
              </w:rPr>
              <w:t>25</w:t>
            </w:r>
          </w:p>
        </w:tc>
        <w:tc>
          <w:tcPr>
            <w:tcW w:w="2897" w:type="dxa"/>
            <w:tcBorders>
              <w:top w:val="nil"/>
              <w:left w:val="nil"/>
              <w:bottom w:val="nil"/>
              <w:right w:val="nil"/>
            </w:tcBorders>
            <w:shd w:val="clear" w:color="auto" w:fill="auto"/>
            <w:noWrap/>
            <w:vAlign w:val="center"/>
            <w:hideMark/>
          </w:tcPr>
          <w:p w14:paraId="5DC33AFD" w14:textId="77777777" w:rsidR="00DE6436" w:rsidRPr="00347D76" w:rsidRDefault="00DE6436" w:rsidP="00C50B64">
            <w:pPr>
              <w:widowControl/>
              <w:overflowPunct/>
              <w:autoSpaceDE/>
              <w:autoSpaceDN/>
              <w:adjustRightInd/>
              <w:jc w:val="both"/>
              <w:textAlignment w:val="auto"/>
              <w:rPr>
                <w:rFonts w:ascii="Calibri" w:hAnsi="Calibri" w:cs="Calibri"/>
                <w:color w:val="000000"/>
                <w:szCs w:val="24"/>
                <w:lang w:val="en-US" w:eastAsia="en-GB"/>
              </w:rPr>
            </w:pPr>
          </w:p>
        </w:tc>
      </w:tr>
      <w:tr w:rsidR="00DE6436" w:rsidRPr="00347D76" w14:paraId="0CD18DA0" w14:textId="77777777" w:rsidTr="00B573B4">
        <w:trPr>
          <w:trHeight w:val="324"/>
          <w:jc w:val="center"/>
        </w:trPr>
        <w:tc>
          <w:tcPr>
            <w:tcW w:w="1776" w:type="dxa"/>
            <w:tcBorders>
              <w:top w:val="nil"/>
              <w:left w:val="nil"/>
              <w:bottom w:val="nil"/>
              <w:right w:val="nil"/>
            </w:tcBorders>
            <w:shd w:val="clear" w:color="auto" w:fill="auto"/>
            <w:noWrap/>
            <w:vAlign w:val="center"/>
            <w:hideMark/>
          </w:tcPr>
          <w:p w14:paraId="0BF1B510" w14:textId="77777777" w:rsidR="00DE6436" w:rsidRPr="00347D76" w:rsidRDefault="00DE6436" w:rsidP="00C50B64">
            <w:pPr>
              <w:widowControl/>
              <w:overflowPunct/>
              <w:autoSpaceDE/>
              <w:autoSpaceDN/>
              <w:adjustRightInd/>
              <w:jc w:val="both"/>
              <w:textAlignment w:val="auto"/>
              <w:rPr>
                <w:rFonts w:ascii="Calibri" w:hAnsi="Calibri" w:cs="Calibri"/>
                <w:color w:val="000000"/>
                <w:szCs w:val="24"/>
                <w:lang w:val="en-US" w:eastAsia="en-GB"/>
              </w:rPr>
            </w:pPr>
            <w:r w:rsidRPr="00347D76">
              <w:rPr>
                <w:rFonts w:ascii="Calibri" w:hAnsi="Calibri" w:cs="Calibri"/>
                <w:color w:val="000000"/>
                <w:szCs w:val="24"/>
                <w:lang w:val="en-US" w:eastAsia="en-GB"/>
              </w:rPr>
              <w:t>50</w:t>
            </w:r>
          </w:p>
        </w:tc>
        <w:tc>
          <w:tcPr>
            <w:tcW w:w="2897" w:type="dxa"/>
            <w:tcBorders>
              <w:top w:val="nil"/>
              <w:left w:val="nil"/>
              <w:bottom w:val="nil"/>
              <w:right w:val="nil"/>
            </w:tcBorders>
            <w:shd w:val="clear" w:color="auto" w:fill="auto"/>
            <w:noWrap/>
            <w:vAlign w:val="center"/>
            <w:hideMark/>
          </w:tcPr>
          <w:p w14:paraId="52BBE1C8" w14:textId="77777777" w:rsidR="00DE6436" w:rsidRPr="00347D76" w:rsidRDefault="00DE6436" w:rsidP="00C50B64">
            <w:pPr>
              <w:widowControl/>
              <w:overflowPunct/>
              <w:autoSpaceDE/>
              <w:autoSpaceDN/>
              <w:adjustRightInd/>
              <w:jc w:val="both"/>
              <w:textAlignment w:val="auto"/>
              <w:rPr>
                <w:rFonts w:ascii="Calibri" w:hAnsi="Calibri" w:cs="Calibri"/>
                <w:color w:val="000000"/>
                <w:szCs w:val="24"/>
                <w:lang w:val="en-US" w:eastAsia="en-GB"/>
              </w:rPr>
            </w:pPr>
          </w:p>
        </w:tc>
      </w:tr>
      <w:tr w:rsidR="00DE6436" w:rsidRPr="00347D76" w14:paraId="35996C03" w14:textId="77777777" w:rsidTr="00B573B4">
        <w:trPr>
          <w:trHeight w:val="324"/>
          <w:jc w:val="center"/>
        </w:trPr>
        <w:tc>
          <w:tcPr>
            <w:tcW w:w="1776" w:type="dxa"/>
            <w:tcBorders>
              <w:top w:val="nil"/>
              <w:left w:val="nil"/>
              <w:bottom w:val="nil"/>
              <w:right w:val="nil"/>
            </w:tcBorders>
            <w:shd w:val="clear" w:color="auto" w:fill="auto"/>
            <w:noWrap/>
            <w:vAlign w:val="center"/>
            <w:hideMark/>
          </w:tcPr>
          <w:p w14:paraId="5E32F00A" w14:textId="77777777" w:rsidR="00DE6436" w:rsidRPr="00347D76" w:rsidRDefault="00DE6436" w:rsidP="00C50B64">
            <w:pPr>
              <w:widowControl/>
              <w:overflowPunct/>
              <w:autoSpaceDE/>
              <w:autoSpaceDN/>
              <w:adjustRightInd/>
              <w:jc w:val="both"/>
              <w:textAlignment w:val="auto"/>
              <w:rPr>
                <w:rFonts w:ascii="Calibri" w:hAnsi="Calibri" w:cs="Calibri"/>
                <w:color w:val="000000"/>
                <w:szCs w:val="24"/>
                <w:lang w:val="en-US" w:eastAsia="en-GB"/>
              </w:rPr>
            </w:pPr>
            <w:r w:rsidRPr="00347D76">
              <w:rPr>
                <w:rFonts w:ascii="Calibri" w:hAnsi="Calibri" w:cs="Calibri"/>
                <w:color w:val="000000"/>
                <w:szCs w:val="24"/>
                <w:lang w:val="en-US" w:eastAsia="en-GB"/>
              </w:rPr>
              <w:t>75</w:t>
            </w:r>
          </w:p>
        </w:tc>
        <w:tc>
          <w:tcPr>
            <w:tcW w:w="2897" w:type="dxa"/>
            <w:tcBorders>
              <w:top w:val="nil"/>
              <w:left w:val="nil"/>
              <w:bottom w:val="nil"/>
              <w:right w:val="nil"/>
            </w:tcBorders>
            <w:shd w:val="clear" w:color="auto" w:fill="auto"/>
            <w:noWrap/>
            <w:vAlign w:val="center"/>
            <w:hideMark/>
          </w:tcPr>
          <w:p w14:paraId="632FA352" w14:textId="77777777" w:rsidR="00DE6436" w:rsidRPr="00347D76" w:rsidRDefault="00DE6436" w:rsidP="00C50B64">
            <w:pPr>
              <w:widowControl/>
              <w:overflowPunct/>
              <w:autoSpaceDE/>
              <w:autoSpaceDN/>
              <w:adjustRightInd/>
              <w:jc w:val="both"/>
              <w:textAlignment w:val="auto"/>
              <w:rPr>
                <w:rFonts w:ascii="Calibri" w:hAnsi="Calibri" w:cs="Calibri"/>
                <w:color w:val="000000"/>
                <w:szCs w:val="24"/>
                <w:lang w:val="en-US" w:eastAsia="en-GB"/>
              </w:rPr>
            </w:pPr>
          </w:p>
        </w:tc>
      </w:tr>
      <w:tr w:rsidR="00DE6436" w:rsidRPr="00347D76" w14:paraId="6CD577C9" w14:textId="77777777" w:rsidTr="00B573B4">
        <w:trPr>
          <w:trHeight w:val="324"/>
          <w:jc w:val="center"/>
        </w:trPr>
        <w:tc>
          <w:tcPr>
            <w:tcW w:w="1776" w:type="dxa"/>
            <w:tcBorders>
              <w:top w:val="nil"/>
              <w:left w:val="nil"/>
              <w:bottom w:val="nil"/>
              <w:right w:val="nil"/>
            </w:tcBorders>
            <w:shd w:val="clear" w:color="auto" w:fill="auto"/>
            <w:noWrap/>
            <w:vAlign w:val="center"/>
            <w:hideMark/>
          </w:tcPr>
          <w:p w14:paraId="59D18628" w14:textId="77777777" w:rsidR="00DE6436" w:rsidRPr="00347D76" w:rsidRDefault="00DE6436" w:rsidP="00C50B64">
            <w:pPr>
              <w:widowControl/>
              <w:overflowPunct/>
              <w:autoSpaceDE/>
              <w:autoSpaceDN/>
              <w:adjustRightInd/>
              <w:jc w:val="both"/>
              <w:textAlignment w:val="auto"/>
              <w:rPr>
                <w:rFonts w:ascii="Calibri" w:hAnsi="Calibri" w:cs="Calibri"/>
                <w:color w:val="000000"/>
                <w:szCs w:val="24"/>
                <w:lang w:val="en-US" w:eastAsia="en-GB"/>
              </w:rPr>
            </w:pPr>
            <w:r w:rsidRPr="00347D76">
              <w:rPr>
                <w:rFonts w:ascii="Calibri" w:hAnsi="Calibri" w:cs="Calibri"/>
                <w:color w:val="000000"/>
                <w:szCs w:val="24"/>
                <w:lang w:val="en-US" w:eastAsia="en-GB"/>
              </w:rPr>
              <w:t>100</w:t>
            </w:r>
          </w:p>
        </w:tc>
        <w:tc>
          <w:tcPr>
            <w:tcW w:w="2897" w:type="dxa"/>
            <w:tcBorders>
              <w:top w:val="nil"/>
              <w:left w:val="nil"/>
              <w:bottom w:val="nil"/>
              <w:right w:val="nil"/>
            </w:tcBorders>
            <w:shd w:val="clear" w:color="auto" w:fill="auto"/>
            <w:noWrap/>
            <w:vAlign w:val="center"/>
            <w:hideMark/>
          </w:tcPr>
          <w:p w14:paraId="561488EB" w14:textId="77777777" w:rsidR="00DE6436" w:rsidRPr="00347D76" w:rsidRDefault="00DE6436" w:rsidP="00C50B64">
            <w:pPr>
              <w:widowControl/>
              <w:overflowPunct/>
              <w:autoSpaceDE/>
              <w:autoSpaceDN/>
              <w:adjustRightInd/>
              <w:jc w:val="both"/>
              <w:textAlignment w:val="auto"/>
              <w:rPr>
                <w:rFonts w:ascii="Calibri" w:hAnsi="Calibri" w:cs="Calibri"/>
                <w:color w:val="000000"/>
                <w:szCs w:val="24"/>
                <w:lang w:val="en-US" w:eastAsia="en-GB"/>
              </w:rPr>
            </w:pPr>
          </w:p>
        </w:tc>
      </w:tr>
    </w:tbl>
    <w:p w14:paraId="35A097A6" w14:textId="77777777" w:rsidR="00DE6436" w:rsidRPr="00347D76" w:rsidRDefault="00DE6436" w:rsidP="00C50B64">
      <w:pPr>
        <w:spacing w:before="120" w:line="276" w:lineRule="auto"/>
        <w:ind w:left="360"/>
        <w:jc w:val="both"/>
        <w:rPr>
          <w:lang w:val="en-US"/>
        </w:rPr>
      </w:pPr>
    </w:p>
    <w:sectPr w:rsidR="00DE6436" w:rsidRPr="00347D76" w:rsidSect="00F8714D">
      <w:footerReference w:type="even" r:id="rId19"/>
      <w:footerReference w:type="default" r:id="rId20"/>
      <w:endnotePr>
        <w:numFmt w:val="decimal"/>
      </w:endnotePr>
      <w:pgSz w:w="11907" w:h="16840"/>
      <w:pgMar w:top="1418"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161B1" w14:textId="77777777" w:rsidR="004016BA" w:rsidRDefault="004016BA" w:rsidP="002D2311">
      <w:r>
        <w:separator/>
      </w:r>
    </w:p>
  </w:endnote>
  <w:endnote w:type="continuationSeparator" w:id="0">
    <w:p w14:paraId="0BF4BE34" w14:textId="77777777" w:rsidR="004016BA" w:rsidRDefault="004016BA" w:rsidP="002D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29101579"/>
      <w:docPartObj>
        <w:docPartGallery w:val="Page Numbers (Bottom of Page)"/>
        <w:docPartUnique/>
      </w:docPartObj>
    </w:sdtPr>
    <w:sdtEndPr>
      <w:rPr>
        <w:rStyle w:val="PageNumber"/>
      </w:rPr>
    </w:sdtEndPr>
    <w:sdtContent>
      <w:p w14:paraId="1A6829BE" w14:textId="502E3BB6" w:rsidR="0018582D" w:rsidRDefault="0018582D" w:rsidP="003353A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5C2509" w14:textId="77777777" w:rsidR="0018582D" w:rsidRDefault="001858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60150810"/>
      <w:docPartObj>
        <w:docPartGallery w:val="Page Numbers (Bottom of Page)"/>
        <w:docPartUnique/>
      </w:docPartObj>
    </w:sdtPr>
    <w:sdtEndPr>
      <w:rPr>
        <w:rStyle w:val="PageNumber"/>
      </w:rPr>
    </w:sdtEndPr>
    <w:sdtContent>
      <w:p w14:paraId="7B34AB02" w14:textId="4001BF89" w:rsidR="0018582D" w:rsidRDefault="0018582D" w:rsidP="003353A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032826D9" w14:textId="77777777" w:rsidR="0018582D" w:rsidRDefault="00185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D39E6" w14:textId="77777777" w:rsidR="004016BA" w:rsidRDefault="004016BA" w:rsidP="002D2311">
      <w:r>
        <w:separator/>
      </w:r>
    </w:p>
  </w:footnote>
  <w:footnote w:type="continuationSeparator" w:id="0">
    <w:p w14:paraId="4F0C8AEA" w14:textId="77777777" w:rsidR="004016BA" w:rsidRDefault="004016BA" w:rsidP="002D2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22B8"/>
    <w:multiLevelType w:val="hybridMultilevel"/>
    <w:tmpl w:val="5EE60A2E"/>
    <w:lvl w:ilvl="0" w:tplc="A914F1FE">
      <w:start w:val="1"/>
      <w:numFmt w:val="upperLetter"/>
      <w:lvlText w:val="%1."/>
      <w:lvlJc w:val="left"/>
      <w:pPr>
        <w:ind w:left="1080" w:hanging="360"/>
      </w:pPr>
      <w:rPr>
        <w:rFonts w:hint="default"/>
        <w:b/>
        <w:sz w:val="28"/>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3626EBD"/>
    <w:multiLevelType w:val="hybridMultilevel"/>
    <w:tmpl w:val="8D00B1BC"/>
    <w:lvl w:ilvl="0" w:tplc="81BCB2B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698227A"/>
    <w:multiLevelType w:val="hybridMultilevel"/>
    <w:tmpl w:val="AC5E441E"/>
    <w:lvl w:ilvl="0" w:tplc="FBF45E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C620F"/>
    <w:multiLevelType w:val="hybridMultilevel"/>
    <w:tmpl w:val="3D2ADC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BA7B7F"/>
    <w:multiLevelType w:val="hybridMultilevel"/>
    <w:tmpl w:val="0542FA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2411A3"/>
    <w:multiLevelType w:val="hybridMultilevel"/>
    <w:tmpl w:val="734CC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1F4EDF"/>
    <w:multiLevelType w:val="hybridMultilevel"/>
    <w:tmpl w:val="14DCC13C"/>
    <w:lvl w:ilvl="0" w:tplc="B39638C6">
      <w:start w:val="1"/>
      <w:numFmt w:val="bullet"/>
      <w:lvlText w:val=""/>
      <w:lvlJc w:val="left"/>
      <w:pPr>
        <w:tabs>
          <w:tab w:val="num" w:pos="720"/>
        </w:tabs>
        <w:ind w:left="474" w:hanging="114"/>
      </w:pPr>
      <w:rPr>
        <w:rFonts w:ascii="Symbol" w:hAnsi="Symbol" w:hint="default"/>
        <w:sz w:val="16"/>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235492"/>
    <w:multiLevelType w:val="hybridMultilevel"/>
    <w:tmpl w:val="5F9A1626"/>
    <w:lvl w:ilvl="0" w:tplc="DB8E6CE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1AD46B81"/>
    <w:multiLevelType w:val="hybridMultilevel"/>
    <w:tmpl w:val="1E481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E542FD"/>
    <w:multiLevelType w:val="hybridMultilevel"/>
    <w:tmpl w:val="339894B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0" w15:restartNumberingAfterBreak="0">
    <w:nsid w:val="1E085B59"/>
    <w:multiLevelType w:val="hybridMultilevel"/>
    <w:tmpl w:val="51DE32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887A1D"/>
    <w:multiLevelType w:val="hybridMultilevel"/>
    <w:tmpl w:val="E3C6D5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950E74"/>
    <w:multiLevelType w:val="hybridMultilevel"/>
    <w:tmpl w:val="4C829C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E16E03"/>
    <w:multiLevelType w:val="hybridMultilevel"/>
    <w:tmpl w:val="4A6A382C"/>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25EB6204"/>
    <w:multiLevelType w:val="hybridMultilevel"/>
    <w:tmpl w:val="B5AE65A6"/>
    <w:lvl w:ilvl="0" w:tplc="F21CDD34">
      <w:start w:val="1"/>
      <w:numFmt w:val="upperLetter"/>
      <w:lvlText w:val="%1."/>
      <w:lvlJc w:val="left"/>
      <w:pPr>
        <w:ind w:left="720" w:hanging="360"/>
      </w:pPr>
      <w:rPr>
        <w:rFonts w:ascii="Arial" w:hAnsi="Arial" w:cs="Arial" w:hint="default"/>
        <w:b/>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1D391A"/>
    <w:multiLevelType w:val="hybridMultilevel"/>
    <w:tmpl w:val="A332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703B46"/>
    <w:multiLevelType w:val="hybridMultilevel"/>
    <w:tmpl w:val="0A6AE73A"/>
    <w:lvl w:ilvl="0" w:tplc="4862377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F94F56"/>
    <w:multiLevelType w:val="hybridMultilevel"/>
    <w:tmpl w:val="B16058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259594D"/>
    <w:multiLevelType w:val="hybridMultilevel"/>
    <w:tmpl w:val="9D9E1D24"/>
    <w:lvl w:ilvl="0" w:tplc="A2E00F06">
      <w:start w:val="1"/>
      <w:numFmt w:val="upperLetter"/>
      <w:lvlText w:val="%1)"/>
      <w:lvlJc w:val="left"/>
      <w:pPr>
        <w:ind w:left="720" w:hanging="360"/>
      </w:pPr>
      <w:rPr>
        <w:rFonts w:hint="default"/>
        <w:b/>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4008F5"/>
    <w:multiLevelType w:val="hybridMultilevel"/>
    <w:tmpl w:val="AF9EB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EB3235"/>
    <w:multiLevelType w:val="hybridMultilevel"/>
    <w:tmpl w:val="9D0442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ED3217D"/>
    <w:multiLevelType w:val="hybridMultilevel"/>
    <w:tmpl w:val="F4366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281882"/>
    <w:multiLevelType w:val="hybridMultilevel"/>
    <w:tmpl w:val="55C2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5C7879"/>
    <w:multiLevelType w:val="hybridMultilevel"/>
    <w:tmpl w:val="0A0814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B240335"/>
    <w:multiLevelType w:val="hybridMultilevel"/>
    <w:tmpl w:val="EE4A2130"/>
    <w:lvl w:ilvl="0" w:tplc="16A6580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C8C01A4"/>
    <w:multiLevelType w:val="hybridMultilevel"/>
    <w:tmpl w:val="5B0C69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27969BD"/>
    <w:multiLevelType w:val="hybridMultilevel"/>
    <w:tmpl w:val="3EDCE0BA"/>
    <w:lvl w:ilvl="0" w:tplc="C276D76A">
      <w:start w:val="1"/>
      <w:numFmt w:val="decimal"/>
      <w:lvlText w:val="%1."/>
      <w:lvlJc w:val="left"/>
      <w:pPr>
        <w:tabs>
          <w:tab w:val="num" w:pos="720"/>
        </w:tabs>
        <w:ind w:left="474" w:hanging="114"/>
      </w:pPr>
      <w:rPr>
        <w:rFonts w:hint="default"/>
        <w:sz w:val="24"/>
        <w:szCs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15:restartNumberingAfterBreak="0">
    <w:nsid w:val="728C23DC"/>
    <w:multiLevelType w:val="hybridMultilevel"/>
    <w:tmpl w:val="CEB23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77E7129"/>
    <w:multiLevelType w:val="hybridMultilevel"/>
    <w:tmpl w:val="659EF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9114FE4"/>
    <w:multiLevelType w:val="hybridMultilevel"/>
    <w:tmpl w:val="78F84242"/>
    <w:lvl w:ilvl="0" w:tplc="6F987FC4">
      <w:start w:val="1"/>
      <w:numFmt w:val="upperLetter"/>
      <w:lvlText w:val="%1."/>
      <w:lvlJc w:val="left"/>
      <w:pPr>
        <w:tabs>
          <w:tab w:val="num" w:pos="720"/>
        </w:tabs>
        <w:ind w:left="720" w:hanging="360"/>
      </w:pPr>
      <w:rPr>
        <w:rFonts w:hint="default"/>
        <w:color w:val="0070C0"/>
      </w:rPr>
    </w:lvl>
    <w:lvl w:ilvl="1" w:tplc="4EF2F650">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077C2D"/>
    <w:multiLevelType w:val="hybridMultilevel"/>
    <w:tmpl w:val="4C2EEF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EB00780"/>
    <w:multiLevelType w:val="hybridMultilevel"/>
    <w:tmpl w:val="BE5A0D5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6"/>
  </w:num>
  <w:num w:numId="3">
    <w:abstractNumId w:val="29"/>
  </w:num>
  <w:num w:numId="4">
    <w:abstractNumId w:val="27"/>
  </w:num>
  <w:num w:numId="5">
    <w:abstractNumId w:val="25"/>
  </w:num>
  <w:num w:numId="6">
    <w:abstractNumId w:val="18"/>
  </w:num>
  <w:num w:numId="7">
    <w:abstractNumId w:val="0"/>
  </w:num>
  <w:num w:numId="8">
    <w:abstractNumId w:val="14"/>
  </w:num>
  <w:num w:numId="9">
    <w:abstractNumId w:val="31"/>
  </w:num>
  <w:num w:numId="10">
    <w:abstractNumId w:val="17"/>
  </w:num>
  <w:num w:numId="11">
    <w:abstractNumId w:val="24"/>
  </w:num>
  <w:num w:numId="12">
    <w:abstractNumId w:val="11"/>
  </w:num>
  <w:num w:numId="13">
    <w:abstractNumId w:val="13"/>
  </w:num>
  <w:num w:numId="14">
    <w:abstractNumId w:val="10"/>
  </w:num>
  <w:num w:numId="15">
    <w:abstractNumId w:val="30"/>
  </w:num>
  <w:num w:numId="16">
    <w:abstractNumId w:val="23"/>
  </w:num>
  <w:num w:numId="17">
    <w:abstractNumId w:val="3"/>
  </w:num>
  <w:num w:numId="18">
    <w:abstractNumId w:val="20"/>
  </w:num>
  <w:num w:numId="19">
    <w:abstractNumId w:val="4"/>
  </w:num>
  <w:num w:numId="20">
    <w:abstractNumId w:val="12"/>
  </w:num>
  <w:num w:numId="21">
    <w:abstractNumId w:val="28"/>
  </w:num>
  <w:num w:numId="22">
    <w:abstractNumId w:val="16"/>
  </w:num>
  <w:num w:numId="23">
    <w:abstractNumId w:val="5"/>
  </w:num>
  <w:num w:numId="24">
    <w:abstractNumId w:val="19"/>
  </w:num>
  <w:num w:numId="25">
    <w:abstractNumId w:val="21"/>
  </w:num>
  <w:num w:numId="26">
    <w:abstractNumId w:val="7"/>
  </w:num>
  <w:num w:numId="27">
    <w:abstractNumId w:val="1"/>
  </w:num>
  <w:num w:numId="28">
    <w:abstractNumId w:val="9"/>
  </w:num>
  <w:num w:numId="29">
    <w:abstractNumId w:val="8"/>
  </w:num>
  <w:num w:numId="30">
    <w:abstractNumId w:val="15"/>
  </w:num>
  <w:num w:numId="31">
    <w:abstractNumId w:val="22"/>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AwMzQ3MTA0NjExNTZT0lEKTi0uzszPAykwrAUAIBFN8iwAAAA="/>
  </w:docVars>
  <w:rsids>
    <w:rsidRoot w:val="008F0C77"/>
    <w:rsid w:val="00020F3F"/>
    <w:rsid w:val="000259A8"/>
    <w:rsid w:val="000340E0"/>
    <w:rsid w:val="000419C0"/>
    <w:rsid w:val="0004376D"/>
    <w:rsid w:val="00046ED4"/>
    <w:rsid w:val="0006248B"/>
    <w:rsid w:val="0008444F"/>
    <w:rsid w:val="00084958"/>
    <w:rsid w:val="0009419E"/>
    <w:rsid w:val="000B06A3"/>
    <w:rsid w:val="000B2825"/>
    <w:rsid w:val="000B3EA4"/>
    <w:rsid w:val="000D01C8"/>
    <w:rsid w:val="000D6C57"/>
    <w:rsid w:val="000E06B3"/>
    <w:rsid w:val="000E13A1"/>
    <w:rsid w:val="000E2A8C"/>
    <w:rsid w:val="000E4AC1"/>
    <w:rsid w:val="000F6677"/>
    <w:rsid w:val="00103A8D"/>
    <w:rsid w:val="00122708"/>
    <w:rsid w:val="00124EA6"/>
    <w:rsid w:val="0012732A"/>
    <w:rsid w:val="00130ADC"/>
    <w:rsid w:val="00136917"/>
    <w:rsid w:val="00141AC3"/>
    <w:rsid w:val="00142280"/>
    <w:rsid w:val="00157FB7"/>
    <w:rsid w:val="001622D4"/>
    <w:rsid w:val="0018582D"/>
    <w:rsid w:val="0019522F"/>
    <w:rsid w:val="001A2DDB"/>
    <w:rsid w:val="001B125D"/>
    <w:rsid w:val="001B51D7"/>
    <w:rsid w:val="001B622E"/>
    <w:rsid w:val="001C0438"/>
    <w:rsid w:val="001C4487"/>
    <w:rsid w:val="001D75F6"/>
    <w:rsid w:val="001F00F4"/>
    <w:rsid w:val="00201DA9"/>
    <w:rsid w:val="00202F2F"/>
    <w:rsid w:val="002134AF"/>
    <w:rsid w:val="00220D28"/>
    <w:rsid w:val="00222263"/>
    <w:rsid w:val="00226240"/>
    <w:rsid w:val="00253048"/>
    <w:rsid w:val="00273184"/>
    <w:rsid w:val="00273402"/>
    <w:rsid w:val="00280AC7"/>
    <w:rsid w:val="00281ACC"/>
    <w:rsid w:val="00285674"/>
    <w:rsid w:val="0028715D"/>
    <w:rsid w:val="00292645"/>
    <w:rsid w:val="002A0DE0"/>
    <w:rsid w:val="002B080A"/>
    <w:rsid w:val="002B266C"/>
    <w:rsid w:val="002B3340"/>
    <w:rsid w:val="002C0736"/>
    <w:rsid w:val="002C5CED"/>
    <w:rsid w:val="002D2311"/>
    <w:rsid w:val="002D40E5"/>
    <w:rsid w:val="002D7B95"/>
    <w:rsid w:val="002E4289"/>
    <w:rsid w:val="002F7EAC"/>
    <w:rsid w:val="003072FD"/>
    <w:rsid w:val="003115FD"/>
    <w:rsid w:val="003137CA"/>
    <w:rsid w:val="003249A8"/>
    <w:rsid w:val="0033724E"/>
    <w:rsid w:val="00344A68"/>
    <w:rsid w:val="00347D76"/>
    <w:rsid w:val="0035064A"/>
    <w:rsid w:val="003518E3"/>
    <w:rsid w:val="00355136"/>
    <w:rsid w:val="003567B8"/>
    <w:rsid w:val="00362BD7"/>
    <w:rsid w:val="00364758"/>
    <w:rsid w:val="00374A8B"/>
    <w:rsid w:val="003754D2"/>
    <w:rsid w:val="00375BD1"/>
    <w:rsid w:val="00376B67"/>
    <w:rsid w:val="003801E1"/>
    <w:rsid w:val="003873CA"/>
    <w:rsid w:val="003875F8"/>
    <w:rsid w:val="0039052A"/>
    <w:rsid w:val="003B460D"/>
    <w:rsid w:val="003E3953"/>
    <w:rsid w:val="003F1179"/>
    <w:rsid w:val="004016BA"/>
    <w:rsid w:val="00416FF1"/>
    <w:rsid w:val="004224A7"/>
    <w:rsid w:val="004229A8"/>
    <w:rsid w:val="0042760E"/>
    <w:rsid w:val="0044375C"/>
    <w:rsid w:val="004438DB"/>
    <w:rsid w:val="0044446B"/>
    <w:rsid w:val="00455C94"/>
    <w:rsid w:val="00456D39"/>
    <w:rsid w:val="00460589"/>
    <w:rsid w:val="004649AE"/>
    <w:rsid w:val="0046635F"/>
    <w:rsid w:val="00472CEA"/>
    <w:rsid w:val="00473700"/>
    <w:rsid w:val="00481780"/>
    <w:rsid w:val="00484196"/>
    <w:rsid w:val="00486625"/>
    <w:rsid w:val="004923A8"/>
    <w:rsid w:val="00497809"/>
    <w:rsid w:val="00497A51"/>
    <w:rsid w:val="004A1200"/>
    <w:rsid w:val="004A1FE3"/>
    <w:rsid w:val="004A5D3B"/>
    <w:rsid w:val="004B58B3"/>
    <w:rsid w:val="004C0BAD"/>
    <w:rsid w:val="004C0DB9"/>
    <w:rsid w:val="004C382C"/>
    <w:rsid w:val="004C46B2"/>
    <w:rsid w:val="004C4DFD"/>
    <w:rsid w:val="004C516B"/>
    <w:rsid w:val="004C70C5"/>
    <w:rsid w:val="004D70C1"/>
    <w:rsid w:val="004D738C"/>
    <w:rsid w:val="004F57B2"/>
    <w:rsid w:val="00504C63"/>
    <w:rsid w:val="005114D7"/>
    <w:rsid w:val="00527F34"/>
    <w:rsid w:val="005461A2"/>
    <w:rsid w:val="00557C92"/>
    <w:rsid w:val="005628B1"/>
    <w:rsid w:val="00572A67"/>
    <w:rsid w:val="00572BF2"/>
    <w:rsid w:val="00572C72"/>
    <w:rsid w:val="00572CE5"/>
    <w:rsid w:val="005837EE"/>
    <w:rsid w:val="00584E39"/>
    <w:rsid w:val="005A5A87"/>
    <w:rsid w:val="005B3D68"/>
    <w:rsid w:val="005B5F1C"/>
    <w:rsid w:val="005B7A21"/>
    <w:rsid w:val="005E18E5"/>
    <w:rsid w:val="005E4A3E"/>
    <w:rsid w:val="005E6892"/>
    <w:rsid w:val="005F3004"/>
    <w:rsid w:val="005F4E61"/>
    <w:rsid w:val="00604700"/>
    <w:rsid w:val="00612886"/>
    <w:rsid w:val="0061591B"/>
    <w:rsid w:val="00623644"/>
    <w:rsid w:val="00633995"/>
    <w:rsid w:val="00635DFD"/>
    <w:rsid w:val="00640B0F"/>
    <w:rsid w:val="0065143E"/>
    <w:rsid w:val="0065730D"/>
    <w:rsid w:val="006632E9"/>
    <w:rsid w:val="0066678D"/>
    <w:rsid w:val="0068690C"/>
    <w:rsid w:val="00693B5A"/>
    <w:rsid w:val="006B22A3"/>
    <w:rsid w:val="00744B11"/>
    <w:rsid w:val="007459B8"/>
    <w:rsid w:val="00746D6A"/>
    <w:rsid w:val="00747C4C"/>
    <w:rsid w:val="00747FD8"/>
    <w:rsid w:val="0075368D"/>
    <w:rsid w:val="0076006B"/>
    <w:rsid w:val="00761CD0"/>
    <w:rsid w:val="00776E85"/>
    <w:rsid w:val="00777DAB"/>
    <w:rsid w:val="00781326"/>
    <w:rsid w:val="00792F69"/>
    <w:rsid w:val="00794110"/>
    <w:rsid w:val="007A4901"/>
    <w:rsid w:val="007C0BA5"/>
    <w:rsid w:val="007D21AF"/>
    <w:rsid w:val="007D3C75"/>
    <w:rsid w:val="007E503C"/>
    <w:rsid w:val="007F012A"/>
    <w:rsid w:val="007F5102"/>
    <w:rsid w:val="007F6C9B"/>
    <w:rsid w:val="007F7C64"/>
    <w:rsid w:val="008060E8"/>
    <w:rsid w:val="00826300"/>
    <w:rsid w:val="00826B70"/>
    <w:rsid w:val="008313D8"/>
    <w:rsid w:val="008368F1"/>
    <w:rsid w:val="00842FDF"/>
    <w:rsid w:val="008623F6"/>
    <w:rsid w:val="00862557"/>
    <w:rsid w:val="00864194"/>
    <w:rsid w:val="008725E9"/>
    <w:rsid w:val="008755C0"/>
    <w:rsid w:val="00877BF2"/>
    <w:rsid w:val="008808F9"/>
    <w:rsid w:val="0088628E"/>
    <w:rsid w:val="00893C84"/>
    <w:rsid w:val="008A176F"/>
    <w:rsid w:val="008A5915"/>
    <w:rsid w:val="008C097B"/>
    <w:rsid w:val="008D071C"/>
    <w:rsid w:val="008D3A7B"/>
    <w:rsid w:val="008F0C77"/>
    <w:rsid w:val="008F1690"/>
    <w:rsid w:val="0090796B"/>
    <w:rsid w:val="00912022"/>
    <w:rsid w:val="009155F2"/>
    <w:rsid w:val="00916882"/>
    <w:rsid w:val="009246B5"/>
    <w:rsid w:val="00941469"/>
    <w:rsid w:val="00943FF4"/>
    <w:rsid w:val="009544FC"/>
    <w:rsid w:val="009548AC"/>
    <w:rsid w:val="009550B1"/>
    <w:rsid w:val="00964171"/>
    <w:rsid w:val="00987D80"/>
    <w:rsid w:val="0099488F"/>
    <w:rsid w:val="009957BF"/>
    <w:rsid w:val="009A2F63"/>
    <w:rsid w:val="009A6AA3"/>
    <w:rsid w:val="009B1C2B"/>
    <w:rsid w:val="009B2378"/>
    <w:rsid w:val="009C5DAE"/>
    <w:rsid w:val="009D4D3A"/>
    <w:rsid w:val="009E3D3C"/>
    <w:rsid w:val="009F1123"/>
    <w:rsid w:val="009F1F2B"/>
    <w:rsid w:val="009F33B6"/>
    <w:rsid w:val="009F529E"/>
    <w:rsid w:val="009F67D1"/>
    <w:rsid w:val="009F6CD1"/>
    <w:rsid w:val="00A11734"/>
    <w:rsid w:val="00A1361E"/>
    <w:rsid w:val="00A21F52"/>
    <w:rsid w:val="00A30769"/>
    <w:rsid w:val="00A31854"/>
    <w:rsid w:val="00A40F70"/>
    <w:rsid w:val="00A43AB4"/>
    <w:rsid w:val="00A47FF4"/>
    <w:rsid w:val="00A546A6"/>
    <w:rsid w:val="00A570C5"/>
    <w:rsid w:val="00A633B7"/>
    <w:rsid w:val="00A63E36"/>
    <w:rsid w:val="00A65874"/>
    <w:rsid w:val="00A83F07"/>
    <w:rsid w:val="00A927D8"/>
    <w:rsid w:val="00A967F1"/>
    <w:rsid w:val="00AA0807"/>
    <w:rsid w:val="00AA168F"/>
    <w:rsid w:val="00AB429D"/>
    <w:rsid w:val="00AB7EE2"/>
    <w:rsid w:val="00AC366A"/>
    <w:rsid w:val="00AC44BF"/>
    <w:rsid w:val="00AD056C"/>
    <w:rsid w:val="00AD2886"/>
    <w:rsid w:val="00AD420C"/>
    <w:rsid w:val="00AD518C"/>
    <w:rsid w:val="00AD5FF9"/>
    <w:rsid w:val="00AF0E7A"/>
    <w:rsid w:val="00B27563"/>
    <w:rsid w:val="00B314B7"/>
    <w:rsid w:val="00B34650"/>
    <w:rsid w:val="00B3686A"/>
    <w:rsid w:val="00B43BD2"/>
    <w:rsid w:val="00B573B4"/>
    <w:rsid w:val="00B72952"/>
    <w:rsid w:val="00B817A0"/>
    <w:rsid w:val="00B85E47"/>
    <w:rsid w:val="00BA3985"/>
    <w:rsid w:val="00BA7105"/>
    <w:rsid w:val="00BB3C3F"/>
    <w:rsid w:val="00BC2510"/>
    <w:rsid w:val="00BF6531"/>
    <w:rsid w:val="00C01352"/>
    <w:rsid w:val="00C10C4A"/>
    <w:rsid w:val="00C10DBA"/>
    <w:rsid w:val="00C12556"/>
    <w:rsid w:val="00C129E3"/>
    <w:rsid w:val="00C20E76"/>
    <w:rsid w:val="00C23BFA"/>
    <w:rsid w:val="00C35C76"/>
    <w:rsid w:val="00C50B64"/>
    <w:rsid w:val="00C64591"/>
    <w:rsid w:val="00C65B07"/>
    <w:rsid w:val="00C86655"/>
    <w:rsid w:val="00C90BE2"/>
    <w:rsid w:val="00C929B9"/>
    <w:rsid w:val="00C93612"/>
    <w:rsid w:val="00C954EF"/>
    <w:rsid w:val="00C95FB9"/>
    <w:rsid w:val="00CA0400"/>
    <w:rsid w:val="00CB625D"/>
    <w:rsid w:val="00CB62D5"/>
    <w:rsid w:val="00CD527B"/>
    <w:rsid w:val="00CE294A"/>
    <w:rsid w:val="00CE2A0E"/>
    <w:rsid w:val="00CE5B8C"/>
    <w:rsid w:val="00CE73E5"/>
    <w:rsid w:val="00CF087D"/>
    <w:rsid w:val="00CF20DC"/>
    <w:rsid w:val="00CF424A"/>
    <w:rsid w:val="00CF5414"/>
    <w:rsid w:val="00D028D2"/>
    <w:rsid w:val="00D04D7B"/>
    <w:rsid w:val="00D1233C"/>
    <w:rsid w:val="00D17A4E"/>
    <w:rsid w:val="00D334EB"/>
    <w:rsid w:val="00D35FEF"/>
    <w:rsid w:val="00D43119"/>
    <w:rsid w:val="00D43D32"/>
    <w:rsid w:val="00D5790A"/>
    <w:rsid w:val="00D63D6D"/>
    <w:rsid w:val="00D7227C"/>
    <w:rsid w:val="00DA4387"/>
    <w:rsid w:val="00DB4B61"/>
    <w:rsid w:val="00DC4AEC"/>
    <w:rsid w:val="00DC7B63"/>
    <w:rsid w:val="00DD0AB8"/>
    <w:rsid w:val="00DD28F5"/>
    <w:rsid w:val="00DD3565"/>
    <w:rsid w:val="00DE6436"/>
    <w:rsid w:val="00E02AE3"/>
    <w:rsid w:val="00E047FC"/>
    <w:rsid w:val="00E05120"/>
    <w:rsid w:val="00E06EBC"/>
    <w:rsid w:val="00E142FB"/>
    <w:rsid w:val="00E17D13"/>
    <w:rsid w:val="00E2385A"/>
    <w:rsid w:val="00E45ABC"/>
    <w:rsid w:val="00E56C63"/>
    <w:rsid w:val="00E616EC"/>
    <w:rsid w:val="00E61E2D"/>
    <w:rsid w:val="00E6740D"/>
    <w:rsid w:val="00EA1BFA"/>
    <w:rsid w:val="00EB1E20"/>
    <w:rsid w:val="00EB3980"/>
    <w:rsid w:val="00EB537D"/>
    <w:rsid w:val="00ED38B9"/>
    <w:rsid w:val="00EE1975"/>
    <w:rsid w:val="00EE4820"/>
    <w:rsid w:val="00EF2DFA"/>
    <w:rsid w:val="00F35998"/>
    <w:rsid w:val="00F53BC7"/>
    <w:rsid w:val="00F55696"/>
    <w:rsid w:val="00F568D6"/>
    <w:rsid w:val="00F61A26"/>
    <w:rsid w:val="00F62857"/>
    <w:rsid w:val="00F636A3"/>
    <w:rsid w:val="00F723E4"/>
    <w:rsid w:val="00F8714D"/>
    <w:rsid w:val="00FA29D2"/>
    <w:rsid w:val="00FA2E5C"/>
    <w:rsid w:val="00FD5DC2"/>
    <w:rsid w:val="00FE4C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2FE090"/>
  <w15:docId w15:val="{0151ACCE-068E-4877-B3D1-566B81D8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32E9"/>
    <w:pPr>
      <w:widowControl w:val="0"/>
      <w:overflowPunct w:val="0"/>
      <w:autoSpaceDE w:val="0"/>
      <w:autoSpaceDN w:val="0"/>
      <w:adjustRightInd w:val="0"/>
      <w:textAlignment w:val="baseline"/>
    </w:pPr>
    <w:rPr>
      <w:sz w:val="24"/>
    </w:rPr>
  </w:style>
  <w:style w:type="paragraph" w:styleId="Heading1">
    <w:name w:val="heading 1"/>
    <w:basedOn w:val="Normal"/>
    <w:next w:val="Normal"/>
    <w:qFormat/>
    <w:rsid w:val="003567B8"/>
    <w:pPr>
      <w:keepNext/>
      <w:keepLines/>
      <w:tabs>
        <w:tab w:val="left" w:pos="567"/>
      </w:tabs>
      <w:spacing w:before="360" w:after="120"/>
      <w:outlineLvl w:val="0"/>
    </w:pPr>
    <w:rPr>
      <w:rFonts w:ascii="Arial" w:hAnsi="Arial"/>
      <w:b/>
      <w:kern w:val="28"/>
      <w:sz w:val="32"/>
    </w:rPr>
  </w:style>
  <w:style w:type="paragraph" w:styleId="Heading2">
    <w:name w:val="heading 2"/>
    <w:basedOn w:val="Normal"/>
    <w:next w:val="Normal"/>
    <w:qFormat/>
    <w:rsid w:val="0099488F"/>
    <w:pPr>
      <w:keepNext/>
      <w:keepLines/>
      <w:spacing w:before="120" w:after="120"/>
      <w:outlineLvl w:val="1"/>
    </w:pPr>
    <w:rPr>
      <w:rFonts w:ascii="Arial" w:hAnsi="Arial"/>
      <w:b/>
    </w:rPr>
  </w:style>
  <w:style w:type="paragraph" w:styleId="Heading3">
    <w:name w:val="heading 3"/>
    <w:basedOn w:val="Normal"/>
    <w:next w:val="Normal"/>
    <w:qFormat/>
    <w:rsid w:val="0099488F"/>
    <w:pPr>
      <w:keepNext/>
      <w:outlineLvl w:val="2"/>
    </w:pPr>
    <w:rPr>
      <w:rFonts w:ascii="Arial" w:hAnsi="Arial"/>
      <w:b/>
      <w:sz w:val="22"/>
    </w:rPr>
  </w:style>
  <w:style w:type="paragraph" w:styleId="Heading4">
    <w:name w:val="heading 4"/>
    <w:basedOn w:val="Normal"/>
    <w:next w:val="Normal"/>
    <w:qFormat/>
    <w:rsid w:val="00F8714D"/>
    <w:pPr>
      <w:keepNext/>
      <w:jc w:val="center"/>
      <w:outlineLvl w:val="3"/>
    </w:pPr>
    <w:rPr>
      <w:b/>
    </w:rPr>
  </w:style>
  <w:style w:type="paragraph" w:styleId="Heading5">
    <w:name w:val="heading 5"/>
    <w:basedOn w:val="Normal"/>
    <w:next w:val="Normal"/>
    <w:qFormat/>
    <w:rsid w:val="00F8714D"/>
    <w:pPr>
      <w:keepNext/>
      <w:ind w:right="-1800"/>
      <w:outlineLvl w:val="4"/>
    </w:pPr>
    <w:rPr>
      <w:b/>
      <w:sz w:val="32"/>
    </w:rPr>
  </w:style>
  <w:style w:type="paragraph" w:styleId="Heading6">
    <w:name w:val="heading 6"/>
    <w:basedOn w:val="Normal"/>
    <w:next w:val="Normal"/>
    <w:qFormat/>
    <w:rsid w:val="00F8714D"/>
    <w:pPr>
      <w:keepNext/>
      <w:spacing w:line="360" w:lineRule="auto"/>
      <w:jc w:val="center"/>
      <w:outlineLvl w:val="5"/>
    </w:pPr>
    <w:rPr>
      <w:i/>
      <w:sz w:val="32"/>
    </w:rPr>
  </w:style>
  <w:style w:type="paragraph" w:styleId="Heading7">
    <w:name w:val="heading 7"/>
    <w:basedOn w:val="Normal"/>
    <w:next w:val="Normal"/>
    <w:qFormat/>
    <w:rsid w:val="00F8714D"/>
    <w:pPr>
      <w:keepNext/>
      <w:spacing w:line="360" w:lineRule="auto"/>
      <w:jc w:val="center"/>
      <w:outlineLvl w:val="6"/>
    </w:pPr>
    <w:rPr>
      <w:sz w:val="32"/>
    </w:rPr>
  </w:style>
  <w:style w:type="paragraph" w:styleId="Heading8">
    <w:name w:val="heading 8"/>
    <w:basedOn w:val="Normal"/>
    <w:next w:val="Normal"/>
    <w:qFormat/>
    <w:rsid w:val="00F8714D"/>
    <w:pPr>
      <w:keepNext/>
      <w:spacing w:line="360" w:lineRule="auto"/>
      <w:jc w:val="center"/>
      <w:outlineLvl w:val="7"/>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rsid w:val="00F8714D"/>
    <w:pPr>
      <w:outlineLvl w:val="9"/>
    </w:pPr>
  </w:style>
  <w:style w:type="paragraph" w:styleId="TOCHeading">
    <w:name w:val="TOC Heading"/>
    <w:basedOn w:val="Heading1"/>
    <w:next w:val="Normal"/>
    <w:uiPriority w:val="39"/>
    <w:semiHidden/>
    <w:unhideWhenUsed/>
    <w:qFormat/>
    <w:rsid w:val="00A1361E"/>
    <w:pPr>
      <w:widowControl/>
      <w:tabs>
        <w:tab w:val="clear" w:pos="567"/>
      </w:tabs>
      <w:overflowPunct/>
      <w:autoSpaceDE/>
      <w:autoSpaceDN/>
      <w:adjustRightInd/>
      <w:spacing w:before="480" w:after="0" w:line="276" w:lineRule="auto"/>
      <w:textAlignment w:val="auto"/>
      <w:outlineLvl w:val="9"/>
    </w:pPr>
    <w:rPr>
      <w:rFonts w:ascii="Cambria" w:hAnsi="Cambria"/>
      <w:bCs/>
      <w:color w:val="365F91"/>
      <w:kern w:val="0"/>
      <w:sz w:val="28"/>
      <w:szCs w:val="28"/>
    </w:rPr>
  </w:style>
  <w:style w:type="paragraph" w:styleId="TOC1">
    <w:name w:val="toc 1"/>
    <w:basedOn w:val="Normal"/>
    <w:next w:val="Normal"/>
    <w:autoRedefine/>
    <w:uiPriority w:val="39"/>
    <w:unhideWhenUsed/>
    <w:qFormat/>
    <w:rsid w:val="00B43BD2"/>
    <w:pPr>
      <w:tabs>
        <w:tab w:val="right" w:leader="dot" w:pos="9629"/>
      </w:tabs>
      <w:spacing w:after="60"/>
    </w:pPr>
    <w:rPr>
      <w:noProof/>
    </w:rPr>
  </w:style>
  <w:style w:type="paragraph" w:styleId="TOC2">
    <w:name w:val="toc 2"/>
    <w:basedOn w:val="Normal"/>
    <w:next w:val="Normal"/>
    <w:autoRedefine/>
    <w:uiPriority w:val="39"/>
    <w:unhideWhenUsed/>
    <w:qFormat/>
    <w:rsid w:val="002D7B95"/>
    <w:pPr>
      <w:tabs>
        <w:tab w:val="left" w:pos="567"/>
        <w:tab w:val="right" w:leader="dot" w:pos="9629"/>
      </w:tabs>
      <w:ind w:left="284"/>
    </w:pPr>
  </w:style>
  <w:style w:type="paragraph" w:styleId="TOC3">
    <w:name w:val="toc 3"/>
    <w:basedOn w:val="Normal"/>
    <w:next w:val="Normal"/>
    <w:autoRedefine/>
    <w:uiPriority w:val="39"/>
    <w:unhideWhenUsed/>
    <w:qFormat/>
    <w:rsid w:val="002D7B95"/>
    <w:pPr>
      <w:tabs>
        <w:tab w:val="left" w:pos="567"/>
        <w:tab w:val="right" w:leader="dot" w:pos="9629"/>
      </w:tabs>
      <w:ind w:left="567"/>
    </w:pPr>
  </w:style>
  <w:style w:type="character" w:styleId="Hyperlink">
    <w:name w:val="Hyperlink"/>
    <w:uiPriority w:val="99"/>
    <w:unhideWhenUsed/>
    <w:rsid w:val="00A1361E"/>
    <w:rPr>
      <w:color w:val="0000FF"/>
      <w:u w:val="single"/>
    </w:rPr>
  </w:style>
  <w:style w:type="paragraph" w:styleId="BalloonText">
    <w:name w:val="Balloon Text"/>
    <w:basedOn w:val="Normal"/>
    <w:link w:val="BalloonTextChar"/>
    <w:uiPriority w:val="99"/>
    <w:semiHidden/>
    <w:unhideWhenUsed/>
    <w:rsid w:val="0044375C"/>
    <w:rPr>
      <w:rFonts w:ascii="Tahoma" w:hAnsi="Tahoma" w:cs="Tahoma"/>
      <w:sz w:val="16"/>
      <w:szCs w:val="16"/>
    </w:rPr>
  </w:style>
  <w:style w:type="character" w:customStyle="1" w:styleId="BalloonTextChar">
    <w:name w:val="Balloon Text Char"/>
    <w:basedOn w:val="DefaultParagraphFont"/>
    <w:link w:val="BalloonText"/>
    <w:uiPriority w:val="99"/>
    <w:semiHidden/>
    <w:rsid w:val="0044375C"/>
    <w:rPr>
      <w:rFonts w:ascii="Tahoma" w:hAnsi="Tahoma" w:cs="Tahoma"/>
      <w:sz w:val="16"/>
      <w:szCs w:val="16"/>
    </w:rPr>
  </w:style>
  <w:style w:type="paragraph" w:styleId="Header">
    <w:name w:val="header"/>
    <w:basedOn w:val="Normal"/>
    <w:link w:val="HeaderChar"/>
    <w:uiPriority w:val="99"/>
    <w:unhideWhenUsed/>
    <w:rsid w:val="002D2311"/>
    <w:pPr>
      <w:tabs>
        <w:tab w:val="center" w:pos="4536"/>
        <w:tab w:val="right" w:pos="9072"/>
      </w:tabs>
    </w:pPr>
  </w:style>
  <w:style w:type="character" w:customStyle="1" w:styleId="HeaderChar">
    <w:name w:val="Header Char"/>
    <w:basedOn w:val="DefaultParagraphFont"/>
    <w:link w:val="Header"/>
    <w:uiPriority w:val="99"/>
    <w:rsid w:val="002D2311"/>
    <w:rPr>
      <w:sz w:val="24"/>
    </w:rPr>
  </w:style>
  <w:style w:type="paragraph" w:styleId="Footer">
    <w:name w:val="footer"/>
    <w:basedOn w:val="Normal"/>
    <w:link w:val="FooterChar"/>
    <w:uiPriority w:val="99"/>
    <w:unhideWhenUsed/>
    <w:rsid w:val="002D2311"/>
    <w:pPr>
      <w:tabs>
        <w:tab w:val="center" w:pos="4536"/>
        <w:tab w:val="right" w:pos="9072"/>
      </w:tabs>
    </w:pPr>
  </w:style>
  <w:style w:type="character" w:customStyle="1" w:styleId="FooterChar">
    <w:name w:val="Footer Char"/>
    <w:basedOn w:val="DefaultParagraphFont"/>
    <w:link w:val="Footer"/>
    <w:uiPriority w:val="99"/>
    <w:rsid w:val="002D2311"/>
    <w:rPr>
      <w:sz w:val="24"/>
    </w:rPr>
  </w:style>
  <w:style w:type="paragraph" w:styleId="ListParagraph">
    <w:name w:val="List Paragraph"/>
    <w:basedOn w:val="Normal"/>
    <w:uiPriority w:val="34"/>
    <w:qFormat/>
    <w:rsid w:val="00E6740D"/>
    <w:pPr>
      <w:ind w:left="720"/>
      <w:contextualSpacing/>
    </w:pPr>
  </w:style>
  <w:style w:type="character" w:styleId="CommentReference">
    <w:name w:val="annotation reference"/>
    <w:basedOn w:val="DefaultParagraphFont"/>
    <w:uiPriority w:val="99"/>
    <w:semiHidden/>
    <w:unhideWhenUsed/>
    <w:rsid w:val="0035064A"/>
    <w:rPr>
      <w:sz w:val="16"/>
      <w:szCs w:val="16"/>
    </w:rPr>
  </w:style>
  <w:style w:type="paragraph" w:styleId="CommentText">
    <w:name w:val="annotation text"/>
    <w:basedOn w:val="Normal"/>
    <w:link w:val="CommentTextChar"/>
    <w:uiPriority w:val="99"/>
    <w:semiHidden/>
    <w:unhideWhenUsed/>
    <w:rsid w:val="0035064A"/>
    <w:rPr>
      <w:sz w:val="20"/>
    </w:rPr>
  </w:style>
  <w:style w:type="character" w:customStyle="1" w:styleId="CommentTextChar">
    <w:name w:val="Comment Text Char"/>
    <w:basedOn w:val="DefaultParagraphFont"/>
    <w:link w:val="CommentText"/>
    <w:uiPriority w:val="99"/>
    <w:semiHidden/>
    <w:rsid w:val="0035064A"/>
  </w:style>
  <w:style w:type="paragraph" w:styleId="CommentSubject">
    <w:name w:val="annotation subject"/>
    <w:basedOn w:val="CommentText"/>
    <w:next w:val="CommentText"/>
    <w:link w:val="CommentSubjectChar"/>
    <w:uiPriority w:val="99"/>
    <w:semiHidden/>
    <w:unhideWhenUsed/>
    <w:rsid w:val="0035064A"/>
    <w:rPr>
      <w:b/>
      <w:bCs/>
    </w:rPr>
  </w:style>
  <w:style w:type="character" w:customStyle="1" w:styleId="CommentSubjectChar">
    <w:name w:val="Comment Subject Char"/>
    <w:basedOn w:val="CommentTextChar"/>
    <w:link w:val="CommentSubject"/>
    <w:uiPriority w:val="99"/>
    <w:semiHidden/>
    <w:rsid w:val="0035064A"/>
    <w:rPr>
      <w:b/>
      <w:bCs/>
    </w:rPr>
  </w:style>
  <w:style w:type="table" w:styleId="TableGrid">
    <w:name w:val="Table Grid"/>
    <w:basedOn w:val="TableNormal"/>
    <w:uiPriority w:val="39"/>
    <w:rsid w:val="00444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6882"/>
    <w:rPr>
      <w:sz w:val="24"/>
    </w:rPr>
  </w:style>
  <w:style w:type="table" w:customStyle="1" w:styleId="GridTable1Light1">
    <w:name w:val="Grid Table 1 Light1"/>
    <w:basedOn w:val="TableNormal"/>
    <w:uiPriority w:val="46"/>
    <w:rsid w:val="00DB4B6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3518E3"/>
    <w:pPr>
      <w:spacing w:after="200"/>
    </w:pPr>
    <w:rPr>
      <w:i/>
      <w:iCs/>
      <w:color w:val="1F497D" w:themeColor="text2"/>
      <w:sz w:val="18"/>
      <w:szCs w:val="18"/>
    </w:rPr>
  </w:style>
  <w:style w:type="paragraph" w:customStyle="1" w:styleId="MDPI31text">
    <w:name w:val="MDPI_3.1_text"/>
    <w:qFormat/>
    <w:rsid w:val="003518E3"/>
    <w:pPr>
      <w:adjustRightInd w:val="0"/>
      <w:snapToGrid w:val="0"/>
      <w:spacing w:line="260" w:lineRule="atLeast"/>
      <w:ind w:firstLine="425"/>
      <w:jc w:val="both"/>
    </w:pPr>
    <w:rPr>
      <w:rFonts w:ascii="Palatino Linotype" w:hAnsi="Palatino Linotype"/>
      <w:snapToGrid w:val="0"/>
      <w:color w:val="000000"/>
      <w:szCs w:val="22"/>
      <w:lang w:val="en-US" w:eastAsia="de-DE" w:bidi="en-US"/>
    </w:rPr>
  </w:style>
  <w:style w:type="paragraph" w:customStyle="1" w:styleId="MDPI22heading2">
    <w:name w:val="MDPI_2.2_heading2"/>
    <w:basedOn w:val="Normal"/>
    <w:qFormat/>
    <w:rsid w:val="00B72952"/>
    <w:pPr>
      <w:widowControl/>
      <w:kinsoku w:val="0"/>
      <w:snapToGrid w:val="0"/>
      <w:spacing w:before="240" w:after="120" w:line="260" w:lineRule="atLeast"/>
      <w:textAlignment w:val="auto"/>
      <w:outlineLvl w:val="1"/>
    </w:pPr>
    <w:rPr>
      <w:rFonts w:ascii="Palatino Linotype" w:hAnsi="Palatino Linotype"/>
      <w:i/>
      <w:noProof/>
      <w:snapToGrid w:val="0"/>
      <w:color w:val="000000"/>
      <w:sz w:val="20"/>
      <w:szCs w:val="22"/>
      <w:lang w:val="en-US" w:eastAsia="de-DE" w:bidi="en-US"/>
    </w:rPr>
  </w:style>
  <w:style w:type="character" w:styleId="UnresolvedMention">
    <w:name w:val="Unresolved Mention"/>
    <w:basedOn w:val="DefaultParagraphFont"/>
    <w:uiPriority w:val="99"/>
    <w:semiHidden/>
    <w:unhideWhenUsed/>
    <w:rsid w:val="00F61A26"/>
    <w:rPr>
      <w:color w:val="605E5C"/>
      <w:shd w:val="clear" w:color="auto" w:fill="E1DFDD"/>
    </w:rPr>
  </w:style>
  <w:style w:type="character" w:styleId="PageNumber">
    <w:name w:val="page number"/>
    <w:basedOn w:val="DefaultParagraphFont"/>
    <w:uiPriority w:val="99"/>
    <w:semiHidden/>
    <w:unhideWhenUsed/>
    <w:rsid w:val="00185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169363">
      <w:bodyDiv w:val="1"/>
      <w:marLeft w:val="0"/>
      <w:marRight w:val="0"/>
      <w:marTop w:val="0"/>
      <w:marBottom w:val="0"/>
      <w:divBdr>
        <w:top w:val="none" w:sz="0" w:space="0" w:color="auto"/>
        <w:left w:val="none" w:sz="0" w:space="0" w:color="auto"/>
        <w:bottom w:val="none" w:sz="0" w:space="0" w:color="auto"/>
        <w:right w:val="none" w:sz="0" w:space="0" w:color="auto"/>
      </w:divBdr>
      <w:divsChild>
        <w:div w:id="910777230">
          <w:marLeft w:val="315"/>
          <w:marRight w:val="300"/>
          <w:marTop w:val="0"/>
          <w:marBottom w:val="225"/>
          <w:divBdr>
            <w:top w:val="none" w:sz="0" w:space="0" w:color="auto"/>
            <w:left w:val="none" w:sz="0" w:space="0" w:color="auto"/>
            <w:bottom w:val="none" w:sz="0" w:space="0" w:color="auto"/>
            <w:right w:val="none" w:sz="0" w:space="0" w:color="auto"/>
          </w:divBdr>
        </w:div>
      </w:divsChild>
    </w:div>
    <w:div w:id="449396681">
      <w:bodyDiv w:val="1"/>
      <w:marLeft w:val="0"/>
      <w:marRight w:val="0"/>
      <w:marTop w:val="0"/>
      <w:marBottom w:val="0"/>
      <w:divBdr>
        <w:top w:val="none" w:sz="0" w:space="0" w:color="auto"/>
        <w:left w:val="none" w:sz="0" w:space="0" w:color="auto"/>
        <w:bottom w:val="none" w:sz="0" w:space="0" w:color="auto"/>
        <w:right w:val="none" w:sz="0" w:space="0" w:color="auto"/>
      </w:divBdr>
      <w:divsChild>
        <w:div w:id="336078254">
          <w:marLeft w:val="315"/>
          <w:marRight w:val="300"/>
          <w:marTop w:val="0"/>
          <w:marBottom w:val="225"/>
          <w:divBdr>
            <w:top w:val="none" w:sz="0" w:space="0" w:color="auto"/>
            <w:left w:val="none" w:sz="0" w:space="0" w:color="auto"/>
            <w:bottom w:val="none" w:sz="0" w:space="0" w:color="auto"/>
            <w:right w:val="none" w:sz="0" w:space="0" w:color="auto"/>
          </w:divBdr>
        </w:div>
      </w:divsChild>
    </w:div>
    <w:div w:id="632248422">
      <w:bodyDiv w:val="1"/>
      <w:marLeft w:val="0"/>
      <w:marRight w:val="0"/>
      <w:marTop w:val="0"/>
      <w:marBottom w:val="0"/>
      <w:divBdr>
        <w:top w:val="none" w:sz="0" w:space="0" w:color="auto"/>
        <w:left w:val="none" w:sz="0" w:space="0" w:color="auto"/>
        <w:bottom w:val="none" w:sz="0" w:space="0" w:color="auto"/>
        <w:right w:val="none" w:sz="0" w:space="0" w:color="auto"/>
      </w:divBdr>
    </w:div>
    <w:div w:id="8005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dpi.com/2076-3417/10/2/565" TargetMode="External"/><Relationship Id="rId18" Type="http://schemas.openxmlformats.org/officeDocument/2006/relationships/hyperlink" Target="https://www.aatbio.com/tools/ic50-calculato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food.r-biopharm.com/products/ridaquick-aflatoxin-rqs-eco-2/" TargetMode="External"/><Relationship Id="rId2" Type="http://schemas.openxmlformats.org/officeDocument/2006/relationships/customXml" Target="../customXml/item2.xml"/><Relationship Id="rId16" Type="http://schemas.openxmlformats.org/officeDocument/2006/relationships/hyperlink" Target="http://www.pinterest.i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F624EC29F6756438FD23357A2175624" ma:contentTypeVersion="13" ma:contentTypeDescription="Vytvoří nový dokument" ma:contentTypeScope="" ma:versionID="21eedf1d34210b33f9fd2821fdbe5ae6">
  <xsd:schema xmlns:xsd="http://www.w3.org/2001/XMLSchema" xmlns:xs="http://www.w3.org/2001/XMLSchema" xmlns:p="http://schemas.microsoft.com/office/2006/metadata/properties" xmlns:ns3="7f4f5e5a-7a41-4668-aad3-9c216d86ff00" xmlns:ns4="ddbb36e1-7deb-4c0f-b3f4-a9bae245eb56" targetNamespace="http://schemas.microsoft.com/office/2006/metadata/properties" ma:root="true" ma:fieldsID="3c1ce86ea725b046a5e3bf7494571bc2" ns3:_="" ns4:_="">
    <xsd:import namespace="7f4f5e5a-7a41-4668-aad3-9c216d86ff00"/>
    <xsd:import namespace="ddbb36e1-7deb-4c0f-b3f4-a9bae245eb5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f5e5a-7a41-4668-aad3-9c216d86f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bb36e1-7deb-4c0f-b3f4-a9bae245eb56"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73996-3423-4DB4-A01C-4AB7E465C7A1}">
  <ds:schemaRefs>
    <ds:schemaRef ds:uri="http://schemas.microsoft.com/office/2006/metadata/properties"/>
    <ds:schemaRef ds:uri="http://purl.org/dc/elements/1.1/"/>
    <ds:schemaRef ds:uri="ddbb36e1-7deb-4c0f-b3f4-a9bae245eb56"/>
    <ds:schemaRef ds:uri="7f4f5e5a-7a41-4668-aad3-9c216d86ff00"/>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B89F654A-0CD6-48F1-9583-A0CE52FB2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f5e5a-7a41-4668-aad3-9c216d86ff00"/>
    <ds:schemaRef ds:uri="ddbb36e1-7deb-4c0f-b3f4-a9bae245e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BD4D22-AF75-41EA-8E6D-21615E3B6AA6}">
  <ds:schemaRefs>
    <ds:schemaRef ds:uri="http://schemas.microsoft.com/sharepoint/v3/contenttype/forms"/>
  </ds:schemaRefs>
</ds:datastoreItem>
</file>

<file path=customXml/itemProps4.xml><?xml version="1.0" encoding="utf-8"?>
<ds:datastoreItem xmlns:ds="http://schemas.openxmlformats.org/officeDocument/2006/customXml" ds:itemID="{23477A2D-65C8-4657-A0DC-C08BF4AF3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10</Pages>
  <Words>3148</Words>
  <Characters>47524</Characters>
  <Application>Microsoft Office Word</Application>
  <DocSecurity>0</DocSecurity>
  <Lines>396</Lines>
  <Paragraphs>101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STANOVENÍ CELKOVÉHO OBSAHU DUSÍKU METODOU PODLE KJELDAHLA POMOCÍ KJELTEC SYSTÉMU 1026</vt:lpstr>
      <vt:lpstr>STANOVENÍ CELKOVÉHO OBSAHU DUSÍKU METODOU PODLE KJELDAHLA POMOCÍ KJELTEC SYSTÉMU 1026</vt:lpstr>
    </vt:vector>
  </TitlesOfParts>
  <Company>VSCHT Praha</Company>
  <LinksUpToDate>false</LinksUpToDate>
  <CharactersWithSpaces>50571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CELKOVÉHO OBSAHU DUSÍKU METODOU PODLE KJELDAHLA POMOCÍ KJELTEC SYSTÉMU 1026</dc:title>
  <dc:creator>V.Kocourek</dc:creator>
  <cp:lastModifiedBy>Tsagkaris Aristeidis (323)</cp:lastModifiedBy>
  <cp:revision>15</cp:revision>
  <cp:lastPrinted>2011-09-12T07:42:00Z</cp:lastPrinted>
  <dcterms:created xsi:type="dcterms:W3CDTF">2020-09-17T08:57:00Z</dcterms:created>
  <dcterms:modified xsi:type="dcterms:W3CDTF">2020-09-21T11:03:00Z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0x0101002F624EC29F6756438FD23357A2175624</vt:lpwstr>
  </property>
  <property fmtid="{D5CDD505-2E9C-101B-9397-08002B2CF9AE}" pid="3" name="Mendeley Recent Style Id 0_1">
    <vt:lpwstr>http://www.zotero.org/styles/american-sociological-association</vt:lpwstr>
  </property>
  <property fmtid="{D5CDD505-2E9C-101B-9397-08002B2CF9AE}" pid="4" name="Mendeley Recent Style Name 0_1">
    <vt:lpwstr>American Sociological Association</vt:lpwstr>
  </property>
  <property fmtid="{D5CDD505-2E9C-101B-9397-08002B2CF9AE}" pid="5" name="Mendeley Recent Style Id 1_1">
    <vt:lpwstr>http://www.zotero.org/styles/chicago-author-date</vt:lpwstr>
  </property>
  <property fmtid="{D5CDD505-2E9C-101B-9397-08002B2CF9AE}" pid="6" name="Mendeley Recent Style Name 1_1">
    <vt:lpwstr>Chicago Manual of Style 17th edition (author-date)</vt:lpwstr>
  </property>
  <property fmtid="{D5CDD505-2E9C-101B-9397-08002B2CF9AE}" pid="7" name="Mendeley Recent Style Id 2_1">
    <vt:lpwstr>http://www.zotero.org/styles/harvard-cite-them-right</vt:lpwstr>
  </property>
  <property fmtid="{D5CDD505-2E9C-101B-9397-08002B2CF9AE}" pid="8" name="Mendeley Recent Style Name 2_1">
    <vt:lpwstr>Cite Them Right 10th edition - Harvard</vt:lpwstr>
  </property>
  <property fmtid="{D5CDD505-2E9C-101B-9397-08002B2CF9AE}" pid="9" name="Mendeley Recent Style Id 3_1">
    <vt:lpwstr>http://www.zotero.org/styles/foods</vt:lpwstr>
  </property>
  <property fmtid="{D5CDD505-2E9C-101B-9397-08002B2CF9AE}" pid="10" name="Mendeley Recent Style Name 3_1">
    <vt:lpwstr>Foods</vt:lpwstr>
  </property>
  <property fmtid="{D5CDD505-2E9C-101B-9397-08002B2CF9AE}" pid="11" name="Mendeley Recent Style Id 4_1">
    <vt:lpwstr>http://www.zotero.org/styles/ieee</vt:lpwstr>
  </property>
  <property fmtid="{D5CDD505-2E9C-101B-9397-08002B2CF9AE}" pid="12" name="Mendeley Recent Style Name 4_1">
    <vt:lpwstr>IEEE</vt:lpwstr>
  </property>
  <property fmtid="{D5CDD505-2E9C-101B-9397-08002B2CF9AE}" pid="13" name="Mendeley Recent Style Id 5_1">
    <vt:lpwstr>http://www.zotero.org/styles/modern-humanities-research-association</vt:lpwstr>
  </property>
  <property fmtid="{D5CDD505-2E9C-101B-9397-08002B2CF9AE}" pid="14" name="Mendeley Recent Style Name 5_1">
    <vt:lpwstr>Modern Humanities Research Association 3rd edition (note with bibliography)</vt:lpwstr>
  </property>
  <property fmtid="{D5CDD505-2E9C-101B-9397-08002B2CF9AE}" pid="15" name="Mendeley Recent Style Id 6_1">
    <vt:lpwstr>http://www.zotero.org/styles/modern-language-association</vt:lpwstr>
  </property>
  <property fmtid="{D5CDD505-2E9C-101B-9397-08002B2CF9AE}" pid="16" name="Mendeley Recent Style Name 6_1">
    <vt:lpwstr>Modern Language Association 8th edition</vt:lpwstr>
  </property>
  <property fmtid="{D5CDD505-2E9C-101B-9397-08002B2CF9AE}" pid="17" name="Mendeley Recent Style Id 7_1">
    <vt:lpwstr>http://www.zotero.org/styles/molecules</vt:lpwstr>
  </property>
  <property fmtid="{D5CDD505-2E9C-101B-9397-08002B2CF9AE}" pid="18" name="Mendeley Recent Style Name 7_1">
    <vt:lpwstr>Molecules</vt:lpwstr>
  </property>
  <property fmtid="{D5CDD505-2E9C-101B-9397-08002B2CF9AE}" pid="19" name="Mendeley Recent Style Id 8_1">
    <vt:lpwstr>http://www.zotero.org/styles/royal-society-of-chemistry</vt:lpwstr>
  </property>
  <property fmtid="{D5CDD505-2E9C-101B-9397-08002B2CF9AE}" pid="20" name="Mendeley Recent Style Name 8_1">
    <vt:lpwstr>Royal Society of Chemistry</vt:lpwstr>
  </property>
  <property fmtid="{D5CDD505-2E9C-101B-9397-08002B2CF9AE}" pid="21" name="Mendeley Recent Style Id 9_1">
    <vt:lpwstr>http://www.zotero.org/styles/talanta</vt:lpwstr>
  </property>
  <property fmtid="{D5CDD505-2E9C-101B-9397-08002B2CF9AE}" pid="22" name="Mendeley Recent Style Name 9_1">
    <vt:lpwstr>Talanta</vt:lpwstr>
  </property>
  <property fmtid="{D5CDD505-2E9C-101B-9397-08002B2CF9AE}" pid="23" name="Mendeley Document_1">
    <vt:lpwstr>True</vt:lpwstr>
  </property>
  <property fmtid="{D5CDD505-2E9C-101B-9397-08002B2CF9AE}" pid="24" name="Mendeley Unique User Id_1">
    <vt:lpwstr>6acfadd3-3e26-39e0-87b7-7b16a9f4f296</vt:lpwstr>
  </property>
  <property fmtid="{D5CDD505-2E9C-101B-9397-08002B2CF9AE}" pid="25" name="Mendeley Citation Style_1">
    <vt:lpwstr>http://www.zotero.org/styles/talanta</vt:lpwstr>
  </property>
</Properties>
</file>