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81D" w:rsidRDefault="00EF581D" w:rsidP="00EF581D">
      <w:pPr>
        <w:pStyle w:val="Nzev"/>
      </w:pPr>
      <w:r>
        <w:t xml:space="preserve">Kapilární </w:t>
      </w:r>
      <w:proofErr w:type="spellStart"/>
      <w:r>
        <w:t>isotachoforesa</w:t>
      </w:r>
      <w:proofErr w:type="spellEnd"/>
    </w:p>
    <w:p w:rsidR="00EF581D" w:rsidRDefault="00EF581D" w:rsidP="00EF581D">
      <w:pPr>
        <w:spacing w:before="240" w:after="240"/>
        <w:jc w:val="center"/>
        <w:rPr>
          <w:sz w:val="32"/>
        </w:rPr>
      </w:pPr>
      <w:r>
        <w:rPr>
          <w:sz w:val="32"/>
        </w:rPr>
        <w:t>Elektromigrační metody 1</w:t>
      </w:r>
    </w:p>
    <w:p w:rsidR="00EF581D" w:rsidRDefault="00EF581D" w:rsidP="00EF581D">
      <w:pPr>
        <w:spacing w:line="360" w:lineRule="auto"/>
        <w:rPr>
          <w:b/>
          <w:i/>
          <w:sz w:val="28"/>
        </w:rPr>
      </w:pPr>
      <w:r>
        <w:rPr>
          <w:b/>
          <w:i/>
          <w:sz w:val="28"/>
        </w:rPr>
        <w:t>Princip</w:t>
      </w:r>
    </w:p>
    <w:p w:rsidR="00EF581D" w:rsidRDefault="00EF581D" w:rsidP="00EF581D">
      <w:pPr>
        <w:spacing w:line="360" w:lineRule="auto"/>
        <w:ind w:firstLine="567"/>
        <w:rPr>
          <w:sz w:val="30"/>
        </w:rPr>
      </w:pPr>
      <w:r>
        <w:rPr>
          <w:sz w:val="30"/>
        </w:rPr>
        <w:t xml:space="preserve">Kapilární </w:t>
      </w:r>
      <w:proofErr w:type="spellStart"/>
      <w:r>
        <w:rPr>
          <w:sz w:val="30"/>
        </w:rPr>
        <w:t>isotachoforesa</w:t>
      </w:r>
      <w:proofErr w:type="spellEnd"/>
      <w:r>
        <w:rPr>
          <w:sz w:val="30"/>
        </w:rPr>
        <w:t xml:space="preserve"> je elektromigrační technika pomocí níž je možné separovat a stanovit anionty a kationty. Princip je založen na rozdílné pohyblivosti separovaných ionogenních složek v elektrickém poli. Separace probíhá v případě kapilární </w:t>
      </w:r>
      <w:proofErr w:type="spellStart"/>
      <w:r>
        <w:rPr>
          <w:sz w:val="30"/>
        </w:rPr>
        <w:t>isotachoforesy</w:t>
      </w:r>
      <w:proofErr w:type="spellEnd"/>
      <w:r>
        <w:rPr>
          <w:sz w:val="30"/>
        </w:rPr>
        <w:t xml:space="preserve"> v diskontinuálním systému dvou elektrolytů (tzv. vedoucího a koncového) uvnitř kapiláry vhodných rozměrů. Vedoucí elektrolyt obsahuje ion s nejvyšší pohyblivostí a koncový elektrolyt obsahuje ion s nejnižší pohyblivostí z celé separované směsi. Vzorek se dávkuje mezi tyto dva elektrolyty. Po zapnutí stejnosměrného elektrického proudu se ionty v kapiláře rozdělí po určitém čase do těsně za sebou jdoucích zón v pořadí klesající pohyblivosti (m). Zóny se pohybují konstantní rychlostí</w:t>
      </w:r>
      <w:r>
        <w:rPr>
          <w:rStyle w:val="Znakapoznpodarou"/>
          <w:sz w:val="30"/>
        </w:rPr>
        <w:footnoteReference w:id="1"/>
      </w:r>
      <w:r>
        <w:rPr>
          <w:sz w:val="30"/>
        </w:rPr>
        <w:t xml:space="preserve">. Vodivostní detektor umístěný v kapiláře zaznamená jejich průchod a výsledkem záznamu je schodovitá křivka, tzv. </w:t>
      </w:r>
      <w:proofErr w:type="spellStart"/>
      <w:r>
        <w:rPr>
          <w:sz w:val="30"/>
        </w:rPr>
        <w:t>isotachoforegram</w:t>
      </w:r>
      <w:proofErr w:type="spellEnd"/>
      <w:r>
        <w:rPr>
          <w:sz w:val="30"/>
        </w:rPr>
        <w:t xml:space="preserve">. Výška vlny je kvalitativní charakteristikou separované látky a její délka je kvantitativním ukazatelem. Čas analýzy při kapilární </w:t>
      </w:r>
      <w:proofErr w:type="spellStart"/>
      <w:r>
        <w:rPr>
          <w:sz w:val="30"/>
        </w:rPr>
        <w:t>isotachoforese</w:t>
      </w:r>
      <w:proofErr w:type="spellEnd"/>
      <w:r>
        <w:rPr>
          <w:sz w:val="30"/>
        </w:rPr>
        <w:t xml:space="preserve"> se pohybuje podle podmínek a povahy vzorku od 5 do 30 minut. Tato technika se vyznačuje vysokou přesností (2 % </w:t>
      </w:r>
      <w:proofErr w:type="spellStart"/>
      <w:r>
        <w:rPr>
          <w:sz w:val="30"/>
        </w:rPr>
        <w:t>rel</w:t>
      </w:r>
      <w:proofErr w:type="spellEnd"/>
      <w:r>
        <w:rPr>
          <w:sz w:val="30"/>
        </w:rPr>
        <w:t xml:space="preserve">.) a citlivostí (10 </w:t>
      </w:r>
      <w:r>
        <w:rPr>
          <w:position w:val="12"/>
          <w:sz w:val="30"/>
        </w:rPr>
        <w:t>-6</w:t>
      </w:r>
      <w:r>
        <w:rPr>
          <w:sz w:val="30"/>
        </w:rPr>
        <w:t xml:space="preserve"> mol/l). Jejími dalšími výhodami je minimální úprava vzorku, nízké provozní náklady a univerzálnost. Nevýhodou oproti kapilární </w:t>
      </w:r>
      <w:proofErr w:type="spellStart"/>
      <w:r>
        <w:rPr>
          <w:sz w:val="30"/>
        </w:rPr>
        <w:t>elektroforese</w:t>
      </w:r>
      <w:proofErr w:type="spellEnd"/>
      <w:r>
        <w:rPr>
          <w:sz w:val="30"/>
        </w:rPr>
        <w:t xml:space="preserve"> je to, že není možné v jedné analýze stanovit anionty a kationty. </w:t>
      </w:r>
    </w:p>
    <w:p w:rsidR="00EF581D" w:rsidRDefault="00EF581D" w:rsidP="00EF581D">
      <w:pPr>
        <w:spacing w:line="360" w:lineRule="auto"/>
        <w:rPr>
          <w:sz w:val="30"/>
        </w:rPr>
      </w:pPr>
    </w:p>
    <w:p w:rsidR="00EF581D" w:rsidRDefault="00EF581D" w:rsidP="00EF581D">
      <w:pPr>
        <w:spacing w:line="360" w:lineRule="auto"/>
        <w:jc w:val="center"/>
      </w:pPr>
      <w:r>
        <w:rPr>
          <w:sz w:val="20"/>
        </w:rPr>
        <w:object w:dxaOrig="6961" w:dyaOrig="958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8pt;height:393pt" o:ole="" fillcolor="window">
            <v:imagedata r:id="rId8" o:title=""/>
          </v:shape>
          <o:OLEObject Type="Embed" ProgID="MSDraw" ShapeID="_x0000_i1025" DrawAspect="Content" ObjectID="_1504438285" r:id="rId9"/>
        </w:object>
      </w:r>
    </w:p>
    <w:p w:rsidR="00EF581D" w:rsidRDefault="00EF581D" w:rsidP="00EF581D">
      <w:pPr>
        <w:spacing w:line="360" w:lineRule="auto"/>
      </w:pPr>
    </w:p>
    <w:p w:rsidR="00EF581D" w:rsidRDefault="00EF581D" w:rsidP="00EF581D">
      <w:pPr>
        <w:spacing w:line="360" w:lineRule="auto"/>
        <w:rPr>
          <w:sz w:val="30"/>
        </w:rPr>
      </w:pPr>
      <w:r>
        <w:rPr>
          <w:b/>
          <w:sz w:val="30"/>
          <w:u w:val="single"/>
        </w:rPr>
        <w:t>Obrázek 1</w:t>
      </w:r>
      <w:r>
        <w:rPr>
          <w:sz w:val="30"/>
        </w:rPr>
        <w:tab/>
        <w:t xml:space="preserve">Separace směsi aniontů A </w:t>
      </w:r>
      <w:proofErr w:type="spellStart"/>
      <w:r>
        <w:rPr>
          <w:sz w:val="30"/>
        </w:rPr>
        <w:t>a</w:t>
      </w:r>
      <w:proofErr w:type="spellEnd"/>
      <w:r>
        <w:rPr>
          <w:sz w:val="30"/>
        </w:rPr>
        <w:t xml:space="preserve"> B podle principů </w:t>
      </w:r>
      <w:proofErr w:type="spellStart"/>
      <w:r>
        <w:rPr>
          <w:sz w:val="30"/>
        </w:rPr>
        <w:t>isotachoforesy</w:t>
      </w:r>
      <w:proofErr w:type="spellEnd"/>
    </w:p>
    <w:p w:rsidR="00EF581D" w:rsidRDefault="00EF581D" w:rsidP="00EF581D">
      <w:pPr>
        <w:numPr>
          <w:ilvl w:val="0"/>
          <w:numId w:val="1"/>
        </w:numPr>
        <w:spacing w:line="360" w:lineRule="auto"/>
        <w:rPr>
          <w:sz w:val="30"/>
        </w:rPr>
      </w:pPr>
      <w:r>
        <w:rPr>
          <w:sz w:val="30"/>
        </w:rPr>
        <w:t>je situace na počátku analýzy</w:t>
      </w:r>
    </w:p>
    <w:p w:rsidR="00EF581D" w:rsidRDefault="00EF581D" w:rsidP="00EF581D">
      <w:pPr>
        <w:numPr>
          <w:ilvl w:val="0"/>
          <w:numId w:val="1"/>
        </w:numPr>
        <w:spacing w:line="360" w:lineRule="auto"/>
        <w:rPr>
          <w:sz w:val="30"/>
        </w:rPr>
      </w:pPr>
      <w:r>
        <w:rPr>
          <w:sz w:val="30"/>
        </w:rPr>
        <w:t xml:space="preserve">je situace po určité době (čas t </w:t>
      </w:r>
      <w:r>
        <w:rPr>
          <w:sz w:val="30"/>
        </w:rPr>
        <w:sym w:font="Symbol" w:char="F03E"/>
      </w:r>
      <w:r>
        <w:rPr>
          <w:sz w:val="30"/>
        </w:rPr>
        <w:t xml:space="preserve"> 0, částečná separace aniontů vzorku) analýzy</w:t>
      </w:r>
    </w:p>
    <w:p w:rsidR="00EF581D" w:rsidRDefault="00EF581D" w:rsidP="00EF581D">
      <w:pPr>
        <w:numPr>
          <w:ilvl w:val="0"/>
          <w:numId w:val="1"/>
        </w:numPr>
        <w:spacing w:line="360" w:lineRule="auto"/>
        <w:rPr>
          <w:sz w:val="30"/>
        </w:rPr>
      </w:pPr>
      <w:r>
        <w:rPr>
          <w:sz w:val="30"/>
        </w:rPr>
        <w:t>situace dosažení ustáleného stavu (úplná separace aniontů vzorku)</w:t>
      </w:r>
    </w:p>
    <w:p w:rsidR="00EF581D" w:rsidRDefault="00EF581D" w:rsidP="00EF581D">
      <w:pPr>
        <w:numPr>
          <w:ilvl w:val="0"/>
          <w:numId w:val="1"/>
        </w:numPr>
        <w:spacing w:line="360" w:lineRule="auto"/>
        <w:rPr>
          <w:sz w:val="30"/>
        </w:rPr>
      </w:pPr>
      <w:r>
        <w:rPr>
          <w:sz w:val="30"/>
        </w:rPr>
        <w:t xml:space="preserve">grafické znázornění průběhu elektrického potenciálu </w:t>
      </w:r>
      <w:r>
        <w:rPr>
          <w:sz w:val="30"/>
          <w:u w:val="single"/>
        </w:rPr>
        <w:t>V</w:t>
      </w:r>
      <w:r>
        <w:rPr>
          <w:sz w:val="30"/>
        </w:rPr>
        <w:t xml:space="preserve">, intenzity elektrického pole </w:t>
      </w:r>
      <w:r>
        <w:rPr>
          <w:sz w:val="30"/>
          <w:u w:val="single"/>
        </w:rPr>
        <w:t>E</w:t>
      </w:r>
      <w:r>
        <w:rPr>
          <w:sz w:val="30"/>
        </w:rPr>
        <w:t xml:space="preserve"> a koncentrace </w:t>
      </w:r>
      <w:r>
        <w:rPr>
          <w:sz w:val="30"/>
          <w:u w:val="single"/>
        </w:rPr>
        <w:t>c</w:t>
      </w:r>
      <w:r>
        <w:rPr>
          <w:sz w:val="30"/>
        </w:rPr>
        <w:t xml:space="preserve"> v zónách aniontů A </w:t>
      </w:r>
      <w:proofErr w:type="spellStart"/>
      <w:r>
        <w:rPr>
          <w:sz w:val="30"/>
        </w:rPr>
        <w:t>a</w:t>
      </w:r>
      <w:proofErr w:type="spellEnd"/>
      <w:r>
        <w:rPr>
          <w:sz w:val="30"/>
        </w:rPr>
        <w:t xml:space="preserve"> B po dosažení ustáleného stavu</w:t>
      </w:r>
    </w:p>
    <w:p w:rsidR="00EF581D" w:rsidRDefault="00EF581D" w:rsidP="00EF581D">
      <w:pPr>
        <w:spacing w:before="240" w:after="240"/>
        <w:jc w:val="center"/>
        <w:rPr>
          <w:sz w:val="32"/>
        </w:rPr>
      </w:pPr>
    </w:p>
    <w:p w:rsidR="00EF581D" w:rsidRDefault="00EF581D" w:rsidP="00EF581D">
      <w:pPr>
        <w:spacing w:before="240" w:after="240"/>
        <w:jc w:val="center"/>
        <w:rPr>
          <w:sz w:val="32"/>
        </w:rPr>
      </w:pPr>
    </w:p>
    <w:p w:rsidR="00EF581D" w:rsidRDefault="00EF581D" w:rsidP="00EF581D">
      <w:pPr>
        <w:spacing w:before="60" w:after="60"/>
        <w:rPr>
          <w:b/>
          <w:i/>
          <w:sz w:val="28"/>
        </w:rPr>
      </w:pPr>
    </w:p>
    <w:p w:rsidR="00EF581D" w:rsidRDefault="00EF581D" w:rsidP="00EF581D">
      <w:pPr>
        <w:spacing w:before="60" w:after="60"/>
        <w:rPr>
          <w:b/>
          <w:i/>
          <w:sz w:val="28"/>
        </w:rPr>
      </w:pPr>
      <w:r>
        <w:rPr>
          <w:b/>
          <w:i/>
          <w:sz w:val="28"/>
        </w:rPr>
        <w:t>Úkol</w:t>
      </w:r>
    </w:p>
    <w:p w:rsidR="00EF581D" w:rsidRDefault="00EF581D" w:rsidP="00EF581D">
      <w:pPr>
        <w:pStyle w:val="Normlnodsazen"/>
      </w:pPr>
      <w:r>
        <w:t xml:space="preserve">V neznámém vzorku stanovte organické kyseliny (citronová, jablečná), dusičnany, amonný ion, draslík, sodík, vápník a hořčík. </w:t>
      </w:r>
    </w:p>
    <w:p w:rsidR="00EF581D" w:rsidRDefault="00EF581D" w:rsidP="00EF581D"/>
    <w:p w:rsidR="00EF581D" w:rsidRDefault="00EF581D" w:rsidP="00EF581D">
      <w:pPr>
        <w:spacing w:before="60" w:after="60"/>
      </w:pPr>
      <w:r>
        <w:rPr>
          <w:b/>
          <w:i/>
          <w:sz w:val="28"/>
        </w:rPr>
        <w:t>Podmínky analýzy - kationty</w:t>
      </w:r>
    </w:p>
    <w:p w:rsidR="00EF581D" w:rsidRDefault="00EF581D" w:rsidP="00EF581D">
      <w:pPr>
        <w:ind w:left="1843" w:hanging="1276"/>
      </w:pPr>
      <w:r>
        <w:rPr>
          <w:u w:val="single"/>
        </w:rPr>
        <w:t>Instrument:</w:t>
      </w:r>
      <w:r>
        <w:t xml:space="preserve"> </w:t>
      </w:r>
      <w:proofErr w:type="spellStart"/>
      <w:r>
        <w:t>jednokapilárový</w:t>
      </w:r>
      <w:proofErr w:type="spellEnd"/>
      <w:r>
        <w:t xml:space="preserve"> </w:t>
      </w:r>
      <w:proofErr w:type="spellStart"/>
      <w:r>
        <w:t>isotachoforegraf</w:t>
      </w:r>
      <w:proofErr w:type="spellEnd"/>
      <w:r>
        <w:t xml:space="preserve"> IONOSEP 900.1</w:t>
      </w:r>
    </w:p>
    <w:p w:rsidR="00EF581D" w:rsidRDefault="00EF581D" w:rsidP="00EF581D">
      <w:pPr>
        <w:ind w:left="1843" w:hanging="1276"/>
      </w:pPr>
      <w:r>
        <w:rPr>
          <w:u w:val="single"/>
        </w:rPr>
        <w:t>Vedoucí elektrolyt:</w:t>
      </w:r>
      <w:r>
        <w:tab/>
        <w:t>7</w:t>
      </w:r>
      <w:r>
        <w:t>,</w:t>
      </w:r>
      <w:r>
        <w:t xml:space="preserve">5 </w:t>
      </w:r>
      <w:proofErr w:type="spellStart"/>
      <w:r>
        <w:t>mM</w:t>
      </w:r>
      <w:proofErr w:type="spellEnd"/>
      <w:r>
        <w:t xml:space="preserve"> H</w:t>
      </w:r>
      <w:r>
        <w:rPr>
          <w:vertAlign w:val="subscript"/>
        </w:rPr>
        <w:t>2</w:t>
      </w:r>
      <w:r>
        <w:t>SO</w:t>
      </w:r>
      <w:r>
        <w:rPr>
          <w:vertAlign w:val="subscript"/>
        </w:rPr>
        <w:t>4</w:t>
      </w:r>
      <w:r>
        <w:t xml:space="preserve"> + 7 </w:t>
      </w:r>
      <w:proofErr w:type="spellStart"/>
      <w:r>
        <w:t>mM</w:t>
      </w:r>
      <w:proofErr w:type="spellEnd"/>
      <w:r>
        <w:t xml:space="preserve"> </w:t>
      </w:r>
      <w:proofErr w:type="gramStart"/>
      <w:r>
        <w:t>18-crown-6</w:t>
      </w:r>
      <w:proofErr w:type="gramEnd"/>
      <w:r>
        <w:rPr>
          <w:rStyle w:val="Znakapoznpodarou"/>
        </w:rPr>
        <w:footnoteReference w:id="2"/>
      </w:r>
      <w:r>
        <w:t xml:space="preserve"> + 0,1% HEC</w:t>
      </w:r>
      <w:r>
        <w:rPr>
          <w:rStyle w:val="Znakapoznpodarou"/>
          <w:sz w:val="20"/>
        </w:rPr>
        <w:footnoteReference w:id="3"/>
      </w:r>
      <w:r>
        <w:t xml:space="preserve"> </w:t>
      </w:r>
    </w:p>
    <w:p w:rsidR="00EF581D" w:rsidRDefault="00EF581D" w:rsidP="00EF581D">
      <w:pPr>
        <w:ind w:left="1843" w:hanging="1276"/>
      </w:pPr>
      <w:r>
        <w:rPr>
          <w:u w:val="single"/>
        </w:rPr>
        <w:t>Koncový elektrolyt:</w:t>
      </w:r>
      <w:r>
        <w:t xml:space="preserve"> </w:t>
      </w:r>
      <w:r>
        <w:tab/>
        <w:t xml:space="preserve">5 </w:t>
      </w:r>
      <w:proofErr w:type="spellStart"/>
      <w:r>
        <w:t>mM</w:t>
      </w:r>
      <w:proofErr w:type="spellEnd"/>
      <w:r>
        <w:t xml:space="preserve"> citran lithný</w:t>
      </w:r>
    </w:p>
    <w:p w:rsidR="00EF581D" w:rsidRDefault="00EF581D" w:rsidP="00EF581D">
      <w:pPr>
        <w:ind w:left="1843" w:hanging="1276"/>
      </w:pPr>
      <w:r>
        <w:rPr>
          <w:u w:val="single"/>
        </w:rPr>
        <w:t>Hnací proud:</w:t>
      </w:r>
      <w:r>
        <w:t xml:space="preserve"> počáteční 100 </w:t>
      </w:r>
      <w:r>
        <w:rPr>
          <w:rFonts w:ascii="Symbol" w:hAnsi="Symbol"/>
        </w:rPr>
        <w:t></w:t>
      </w:r>
      <w:r>
        <w:t xml:space="preserve">A, koncový 50 </w:t>
      </w:r>
      <w:r>
        <w:rPr>
          <w:rFonts w:ascii="Symbol" w:hAnsi="Symbol"/>
        </w:rPr>
        <w:t></w:t>
      </w:r>
      <w:r>
        <w:t>A</w:t>
      </w:r>
    </w:p>
    <w:p w:rsidR="00EF581D" w:rsidRDefault="00EF581D" w:rsidP="00EF581D">
      <w:pPr>
        <w:ind w:left="1843" w:hanging="1276"/>
      </w:pPr>
      <w:r>
        <w:rPr>
          <w:u w:val="single"/>
        </w:rPr>
        <w:t>Doba analýzy:</w:t>
      </w:r>
      <w:r>
        <w:t xml:space="preserve"> 15 - 20 minut</w:t>
      </w:r>
    </w:p>
    <w:p w:rsidR="00EF581D" w:rsidRDefault="00EF581D" w:rsidP="00EF581D">
      <w:pPr>
        <w:ind w:left="1843" w:hanging="1276"/>
      </w:pPr>
      <w:r>
        <w:rPr>
          <w:u w:val="single"/>
        </w:rPr>
        <w:t>Mód analýzy:</w:t>
      </w:r>
      <w:r>
        <w:t xml:space="preserve"> kationický</w:t>
      </w:r>
    </w:p>
    <w:p w:rsidR="00EF581D" w:rsidRDefault="00EF581D" w:rsidP="00EF581D">
      <w:pPr>
        <w:spacing w:before="60" w:after="60"/>
      </w:pPr>
      <w:r>
        <w:rPr>
          <w:b/>
          <w:i/>
          <w:sz w:val="28"/>
        </w:rPr>
        <w:t>Podmínky analýzy - anionty</w:t>
      </w:r>
    </w:p>
    <w:p w:rsidR="00EF581D" w:rsidRDefault="00EF581D" w:rsidP="00EF581D">
      <w:pPr>
        <w:ind w:left="1843" w:hanging="1276"/>
      </w:pPr>
      <w:r>
        <w:rPr>
          <w:u w:val="single"/>
        </w:rPr>
        <w:t>Instrument:</w:t>
      </w:r>
      <w:r>
        <w:t xml:space="preserve"> </w:t>
      </w:r>
      <w:proofErr w:type="spellStart"/>
      <w:r>
        <w:t>jednokapilárový</w:t>
      </w:r>
      <w:proofErr w:type="spellEnd"/>
      <w:r>
        <w:t xml:space="preserve"> </w:t>
      </w:r>
      <w:proofErr w:type="spellStart"/>
      <w:r>
        <w:t>isotachoforegraf</w:t>
      </w:r>
      <w:proofErr w:type="spellEnd"/>
      <w:r>
        <w:t xml:space="preserve"> IONOSEP 900.1</w:t>
      </w:r>
    </w:p>
    <w:p w:rsidR="00EF581D" w:rsidRDefault="00EF581D" w:rsidP="00EF581D">
      <w:pPr>
        <w:ind w:left="1843" w:hanging="1276"/>
      </w:pPr>
      <w:r>
        <w:rPr>
          <w:u w:val="single"/>
        </w:rPr>
        <w:t>Vedoucí elektrolyt:</w:t>
      </w:r>
      <w:r>
        <w:tab/>
        <w:t xml:space="preserve">10 </w:t>
      </w:r>
      <w:proofErr w:type="spellStart"/>
      <w:r>
        <w:t>mM</w:t>
      </w:r>
      <w:proofErr w:type="spellEnd"/>
      <w:r>
        <w:t xml:space="preserve"> </w:t>
      </w:r>
      <w:proofErr w:type="spellStart"/>
      <w:r>
        <w:t>HCl</w:t>
      </w:r>
      <w:proofErr w:type="spellEnd"/>
      <w:r>
        <w:t xml:space="preserve"> + 5,5 </w:t>
      </w:r>
      <w:proofErr w:type="spellStart"/>
      <w:r>
        <w:t>mM</w:t>
      </w:r>
      <w:proofErr w:type="spellEnd"/>
      <w:r>
        <w:t xml:space="preserve"> BTP</w:t>
      </w:r>
      <w:r>
        <w:rPr>
          <w:rStyle w:val="Znakapoznpodarou"/>
        </w:rPr>
        <w:footnoteReference w:id="4"/>
      </w:r>
      <w:r>
        <w:t xml:space="preserve"> + 0,1% HEC</w:t>
      </w:r>
      <w:r>
        <w:rPr>
          <w:rStyle w:val="Znakapoznpodarou"/>
          <w:sz w:val="20"/>
        </w:rPr>
        <w:footnoteReference w:id="5"/>
      </w:r>
      <w:r>
        <w:t xml:space="preserve"> </w:t>
      </w:r>
    </w:p>
    <w:p w:rsidR="00EF581D" w:rsidRDefault="00EF581D" w:rsidP="00EF581D">
      <w:pPr>
        <w:ind w:left="1843" w:hanging="1276"/>
      </w:pPr>
      <w:r>
        <w:rPr>
          <w:u w:val="single"/>
        </w:rPr>
        <w:t>Koncový elektrolyt:</w:t>
      </w:r>
      <w:r>
        <w:t xml:space="preserve"> </w:t>
      </w:r>
      <w:r>
        <w:tab/>
        <w:t xml:space="preserve">10 </w:t>
      </w:r>
      <w:proofErr w:type="spellStart"/>
      <w:r>
        <w:t>mM</w:t>
      </w:r>
      <w:proofErr w:type="spellEnd"/>
      <w:r>
        <w:t xml:space="preserve"> kapronová </w:t>
      </w:r>
    </w:p>
    <w:p w:rsidR="00EF581D" w:rsidRDefault="00EF581D" w:rsidP="00EF581D">
      <w:pPr>
        <w:ind w:left="1843" w:hanging="1276"/>
      </w:pPr>
      <w:r>
        <w:rPr>
          <w:u w:val="single"/>
        </w:rPr>
        <w:t>Hnací proud:</w:t>
      </w:r>
      <w:r>
        <w:t xml:space="preserve"> počáteční 80 </w:t>
      </w:r>
      <w:r>
        <w:rPr>
          <w:rFonts w:ascii="Symbol" w:hAnsi="Symbol"/>
        </w:rPr>
        <w:t></w:t>
      </w:r>
      <w:r>
        <w:t xml:space="preserve">A, koncový 30 </w:t>
      </w:r>
      <w:r>
        <w:rPr>
          <w:rFonts w:ascii="Symbol" w:hAnsi="Symbol"/>
        </w:rPr>
        <w:t></w:t>
      </w:r>
      <w:r>
        <w:t>A</w:t>
      </w:r>
    </w:p>
    <w:p w:rsidR="00EF581D" w:rsidRDefault="00EF581D" w:rsidP="00EF581D">
      <w:pPr>
        <w:ind w:left="1843" w:hanging="1276"/>
      </w:pPr>
      <w:r>
        <w:rPr>
          <w:u w:val="single"/>
        </w:rPr>
        <w:t>Doba analýzy:</w:t>
      </w:r>
      <w:r>
        <w:t xml:space="preserve"> 15 - 20 minut</w:t>
      </w:r>
    </w:p>
    <w:p w:rsidR="00EF581D" w:rsidRDefault="00EF581D" w:rsidP="00EF581D">
      <w:pPr>
        <w:ind w:left="1843" w:hanging="1276"/>
      </w:pPr>
      <w:r>
        <w:rPr>
          <w:u w:val="single"/>
        </w:rPr>
        <w:t>Mód analýzy:</w:t>
      </w:r>
      <w:r>
        <w:t xml:space="preserve"> </w:t>
      </w:r>
      <w:proofErr w:type="spellStart"/>
      <w:r>
        <w:t>anionický</w:t>
      </w:r>
      <w:proofErr w:type="spellEnd"/>
    </w:p>
    <w:p w:rsidR="00EF581D" w:rsidRDefault="00EF581D" w:rsidP="00EF581D">
      <w:pPr>
        <w:ind w:left="1843" w:hanging="1276"/>
      </w:pPr>
    </w:p>
    <w:p w:rsidR="00EF581D" w:rsidRDefault="00EF581D" w:rsidP="00EF581D">
      <w:pPr>
        <w:spacing w:before="60" w:after="60"/>
        <w:rPr>
          <w:b/>
          <w:i/>
          <w:sz w:val="28"/>
        </w:rPr>
      </w:pPr>
      <w:r>
        <w:rPr>
          <w:b/>
          <w:i/>
          <w:sz w:val="28"/>
        </w:rPr>
        <w:t>Kalibrace</w:t>
      </w:r>
    </w:p>
    <w:p w:rsidR="00EF581D" w:rsidRDefault="00EF581D" w:rsidP="00EF581D">
      <w:pPr>
        <w:pStyle w:val="Normlnodsazen"/>
      </w:pPr>
      <w:r>
        <w:t xml:space="preserve">Pro kvantitativní vyhodnocení se použije metody vnějšího standardu. Analyzuje se kalibrační roztoku směsi: </w:t>
      </w:r>
      <w:r>
        <w:rPr>
          <w:u w:val="single"/>
        </w:rPr>
        <w:t>Kationty</w:t>
      </w:r>
      <w:r>
        <w:t xml:space="preserve"> - 0.4 </w:t>
      </w:r>
      <w:proofErr w:type="spellStart"/>
      <w:r>
        <w:t>mM</w:t>
      </w:r>
      <w:proofErr w:type="spellEnd"/>
      <w:r>
        <w:t xml:space="preserve"> - NH</w:t>
      </w:r>
      <w:r>
        <w:rPr>
          <w:vertAlign w:val="subscript"/>
        </w:rPr>
        <w:t>3</w:t>
      </w:r>
      <w:r>
        <w:t xml:space="preserve">, 0.4 </w:t>
      </w:r>
      <w:proofErr w:type="spellStart"/>
      <w:r>
        <w:t>mM</w:t>
      </w:r>
      <w:proofErr w:type="spellEnd"/>
      <w:r>
        <w:t xml:space="preserve"> - K, 0.2 </w:t>
      </w:r>
      <w:proofErr w:type="spellStart"/>
      <w:r>
        <w:t>mM</w:t>
      </w:r>
      <w:proofErr w:type="spellEnd"/>
      <w:r>
        <w:t xml:space="preserve"> - Na, 0.1 </w:t>
      </w:r>
      <w:proofErr w:type="spellStart"/>
      <w:r>
        <w:t>mM</w:t>
      </w:r>
      <w:proofErr w:type="spellEnd"/>
      <w:r>
        <w:t xml:space="preserve"> - Ca a 0.1 </w:t>
      </w:r>
      <w:proofErr w:type="spellStart"/>
      <w:r>
        <w:t>mM</w:t>
      </w:r>
      <w:proofErr w:type="spellEnd"/>
      <w:r>
        <w:t xml:space="preserve"> - Mg; </w:t>
      </w:r>
      <w:r>
        <w:rPr>
          <w:u w:val="single"/>
        </w:rPr>
        <w:t>Anionty</w:t>
      </w:r>
      <w:r>
        <w:t xml:space="preserve"> - 0.2 </w:t>
      </w:r>
      <w:proofErr w:type="spellStart"/>
      <w:r>
        <w:t>mM</w:t>
      </w:r>
      <w:proofErr w:type="spellEnd"/>
      <w:r>
        <w:t xml:space="preserve"> - dusičnan, citran, </w:t>
      </w:r>
      <w:proofErr w:type="spellStart"/>
      <w:r>
        <w:t>jablečnan</w:t>
      </w:r>
      <w:proofErr w:type="spellEnd"/>
      <w:r>
        <w:t>.</w:t>
      </w:r>
    </w:p>
    <w:p w:rsidR="00EF581D" w:rsidRDefault="00EF581D" w:rsidP="00EF581D"/>
    <w:p w:rsidR="00EF581D" w:rsidRDefault="00EF581D" w:rsidP="00EF581D">
      <w:pPr>
        <w:spacing w:before="60" w:after="60"/>
        <w:rPr>
          <w:b/>
          <w:i/>
          <w:sz w:val="28"/>
        </w:rPr>
      </w:pPr>
      <w:r>
        <w:rPr>
          <w:b/>
          <w:i/>
          <w:sz w:val="28"/>
        </w:rPr>
        <w:t>Úprava vzorku</w:t>
      </w:r>
    </w:p>
    <w:p w:rsidR="00EF581D" w:rsidRDefault="00EF581D" w:rsidP="00EF581D">
      <w:pPr>
        <w:pStyle w:val="Normlnodsazen"/>
      </w:pPr>
      <w:r>
        <w:t xml:space="preserve">Úprava kapalných vzorků spočívá ve 100 až </w:t>
      </w:r>
      <w:proofErr w:type="gramStart"/>
      <w:r>
        <w:t>250ti</w:t>
      </w:r>
      <w:proofErr w:type="gramEnd"/>
      <w:r>
        <w:t xml:space="preserve"> násobném zředění vzorku demineralizovanou vodou a oddělení pevných kousků filtrací. Filtrát se přímo analyzuje. V případě pevných vzorků se 1 až 5 g vzorku extrahuje asi 80 ml destilované vody (stanovení aniontů) po dobu 5 minut v ultrazvukové lázni. Po doplnění na 100 ml a filtraci přes papír se analyzuje vhodně naředěný filtrát. Při stanovení kationtů se 1 až 5 g vzorku extrahuje ca 80 ml 0.1 M-</w:t>
      </w:r>
      <w:proofErr w:type="spellStart"/>
      <w:r>
        <w:t>HCl</w:t>
      </w:r>
      <w:proofErr w:type="spellEnd"/>
      <w:r>
        <w:t xml:space="preserve"> po dobu 15 minut v ultrazvukové lázni. Po doplnění na 100 ml a filtraci se analyzuje vhodně naředěný (10 až 50x) filtrát.</w:t>
      </w:r>
    </w:p>
    <w:p w:rsidR="00EF581D" w:rsidRDefault="00EF581D" w:rsidP="00EF581D">
      <w:pPr>
        <w:spacing w:before="60" w:after="60"/>
        <w:rPr>
          <w:b/>
          <w:i/>
          <w:sz w:val="28"/>
        </w:rPr>
      </w:pPr>
    </w:p>
    <w:p w:rsidR="00EF581D" w:rsidRDefault="00EF581D" w:rsidP="00EF581D">
      <w:pPr>
        <w:spacing w:before="60" w:after="60"/>
        <w:rPr>
          <w:b/>
          <w:i/>
          <w:sz w:val="28"/>
        </w:rPr>
      </w:pPr>
      <w:r>
        <w:rPr>
          <w:b/>
          <w:i/>
          <w:sz w:val="28"/>
        </w:rPr>
        <w:t>Vyhodnocení</w:t>
      </w:r>
    </w:p>
    <w:p w:rsidR="00EF581D" w:rsidRDefault="00EF581D" w:rsidP="00EF581D">
      <w:pPr>
        <w:pStyle w:val="Normlnodsazen"/>
      </w:pPr>
      <w:r>
        <w:t xml:space="preserve">Obsah kyselin a kationtů se zjistí porovnáním délky vlny příslušného iontu standardního roztoku a vzorku a vyjádří se v </w:t>
      </w:r>
      <w:r>
        <w:rPr>
          <w:b/>
        </w:rPr>
        <w:t xml:space="preserve">mg/l </w:t>
      </w:r>
      <w:r>
        <w:t>respektive</w:t>
      </w:r>
      <w:r>
        <w:rPr>
          <w:b/>
        </w:rPr>
        <w:t xml:space="preserve"> mg/kg</w:t>
      </w:r>
      <w:r>
        <w:t xml:space="preserve">. </w:t>
      </w:r>
    </w:p>
    <w:p w:rsidR="00EF581D" w:rsidRDefault="00EF581D" w:rsidP="00EF581D">
      <w:pPr>
        <w:jc w:val="center"/>
        <w:rPr>
          <w:b/>
        </w:rPr>
      </w:pPr>
    </w:p>
    <w:p w:rsidR="00EF581D" w:rsidRDefault="00EF581D" w:rsidP="00EF581D">
      <w:pPr>
        <w:jc w:val="center"/>
        <w:rPr>
          <w:b/>
        </w:rPr>
      </w:pPr>
    </w:p>
    <w:p w:rsidR="00EF581D" w:rsidRDefault="00EF581D" w:rsidP="00EF581D">
      <w:pPr>
        <w:jc w:val="center"/>
        <w:rPr>
          <w:b/>
        </w:rPr>
      </w:pPr>
    </w:p>
    <w:p w:rsidR="00EF581D" w:rsidRDefault="00EF581D" w:rsidP="00EF581D">
      <w:pPr>
        <w:jc w:val="center"/>
        <w:rPr>
          <w:b/>
        </w:rPr>
      </w:pPr>
    </w:p>
    <w:p w:rsidR="00EF581D" w:rsidRDefault="00EF581D" w:rsidP="00EF581D">
      <w:pPr>
        <w:jc w:val="center"/>
        <w:rPr>
          <w:b/>
        </w:rPr>
      </w:pPr>
    </w:p>
    <w:p w:rsidR="00EF581D" w:rsidRDefault="00EF581D" w:rsidP="00EF581D">
      <w:pPr>
        <w:jc w:val="center"/>
        <w:rPr>
          <w:b/>
        </w:rPr>
      </w:pPr>
    </w:p>
    <w:p w:rsidR="00EF581D" w:rsidRDefault="00EF581D" w:rsidP="00EF581D">
      <w:pPr>
        <w:jc w:val="center"/>
        <w:rPr>
          <w:b/>
        </w:rPr>
      </w:pPr>
      <w:proofErr w:type="spellStart"/>
      <w:r>
        <w:rPr>
          <w:b/>
        </w:rPr>
        <w:t>Isotachoferogram</w:t>
      </w:r>
      <w:proofErr w:type="spellEnd"/>
      <w:r>
        <w:rPr>
          <w:b/>
        </w:rPr>
        <w:t xml:space="preserve"> modelové směsi aniontů (a) a vzorku pomerančového džusu (b) </w:t>
      </w:r>
    </w:p>
    <w:p w:rsidR="00EF581D" w:rsidRDefault="00EF581D" w:rsidP="00EF581D">
      <w:pPr>
        <w:jc w:val="center"/>
        <w:rPr>
          <w:b/>
        </w:rPr>
      </w:pPr>
    </w:p>
    <w:p w:rsidR="00EF581D" w:rsidRDefault="00EF581D" w:rsidP="00EF581D">
      <w:pPr>
        <w:jc w:val="center"/>
      </w:pPr>
      <w:r>
        <w:rPr>
          <w:sz w:val="20"/>
        </w:rPr>
        <w:object w:dxaOrig="9138" w:dyaOrig="3818">
          <v:shape id="_x0000_i1026" type="#_x0000_t75" style="width:6in;height:182.25pt" o:ole="" fillcolor="window">
            <v:imagedata r:id="rId10" o:title=""/>
          </v:shape>
          <o:OLEObject Type="Embed" ProgID="MSDraw" ShapeID="_x0000_i1026" DrawAspect="Content" ObjectID="_1504438286" r:id="rId11">
            <o:FieldCodes>\* MERGEFORMAT</o:FieldCodes>
          </o:OLEObject>
        </w:object>
      </w:r>
    </w:p>
    <w:p w:rsidR="00EF581D" w:rsidRDefault="00EF581D" w:rsidP="00EF581D"/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01"/>
        <w:gridCol w:w="1701"/>
        <w:gridCol w:w="1701"/>
        <w:gridCol w:w="2268"/>
        <w:gridCol w:w="1701"/>
      </w:tblGrid>
      <w:tr w:rsidR="00EF581D" w:rsidTr="004C34D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</w:tcPr>
          <w:p w:rsidR="00EF581D" w:rsidRDefault="00EF581D" w:rsidP="004C34DD">
            <w:pPr>
              <w:rPr>
                <w:sz w:val="20"/>
              </w:rPr>
            </w:pPr>
            <w:r>
              <w:rPr>
                <w:sz w:val="20"/>
              </w:rPr>
              <w:t>L chlorid</w:t>
            </w:r>
          </w:p>
        </w:tc>
        <w:tc>
          <w:tcPr>
            <w:tcW w:w="1701" w:type="dxa"/>
          </w:tcPr>
          <w:p w:rsidR="00EF581D" w:rsidRDefault="00EF581D" w:rsidP="004C34DD">
            <w:pPr>
              <w:rPr>
                <w:sz w:val="20"/>
              </w:rPr>
            </w:pPr>
            <w:r>
              <w:rPr>
                <w:sz w:val="20"/>
              </w:rPr>
              <w:t>4 mravenčan</w:t>
            </w:r>
          </w:p>
        </w:tc>
        <w:tc>
          <w:tcPr>
            <w:tcW w:w="1701" w:type="dxa"/>
          </w:tcPr>
          <w:p w:rsidR="00EF581D" w:rsidRDefault="00EF581D" w:rsidP="004C34DD">
            <w:pPr>
              <w:rPr>
                <w:sz w:val="20"/>
              </w:rPr>
            </w:pPr>
            <w:r>
              <w:rPr>
                <w:sz w:val="20"/>
              </w:rPr>
              <w:t xml:space="preserve">8 </w:t>
            </w:r>
            <w:proofErr w:type="spellStart"/>
            <w:r>
              <w:rPr>
                <w:sz w:val="20"/>
              </w:rPr>
              <w:t>pyrohroznan</w:t>
            </w:r>
            <w:proofErr w:type="spellEnd"/>
          </w:p>
        </w:tc>
        <w:tc>
          <w:tcPr>
            <w:tcW w:w="2268" w:type="dxa"/>
          </w:tcPr>
          <w:p w:rsidR="00EF581D" w:rsidRDefault="00EF581D" w:rsidP="004C34DD">
            <w:pPr>
              <w:rPr>
                <w:sz w:val="20"/>
              </w:rPr>
            </w:pPr>
            <w:r>
              <w:rPr>
                <w:sz w:val="20"/>
              </w:rPr>
              <w:t>11 fosforečnan</w:t>
            </w:r>
          </w:p>
        </w:tc>
        <w:tc>
          <w:tcPr>
            <w:tcW w:w="1701" w:type="dxa"/>
          </w:tcPr>
          <w:p w:rsidR="00EF581D" w:rsidRDefault="00EF581D" w:rsidP="004C34DD">
            <w:pPr>
              <w:rPr>
                <w:sz w:val="20"/>
              </w:rPr>
            </w:pPr>
            <w:r>
              <w:rPr>
                <w:sz w:val="20"/>
              </w:rPr>
              <w:t xml:space="preserve">14 </w:t>
            </w:r>
            <w:proofErr w:type="spellStart"/>
            <w:r>
              <w:rPr>
                <w:sz w:val="20"/>
              </w:rPr>
              <w:t>asparagan</w:t>
            </w:r>
            <w:proofErr w:type="spellEnd"/>
          </w:p>
        </w:tc>
      </w:tr>
      <w:tr w:rsidR="00EF581D" w:rsidTr="004C34D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</w:tcPr>
          <w:p w:rsidR="00EF581D" w:rsidRDefault="00EF581D" w:rsidP="004C34DD">
            <w:pPr>
              <w:rPr>
                <w:sz w:val="20"/>
              </w:rPr>
            </w:pPr>
            <w:r>
              <w:rPr>
                <w:sz w:val="20"/>
              </w:rPr>
              <w:t>1 dusičnan</w:t>
            </w:r>
          </w:p>
        </w:tc>
        <w:tc>
          <w:tcPr>
            <w:tcW w:w="1701" w:type="dxa"/>
          </w:tcPr>
          <w:p w:rsidR="00EF581D" w:rsidRDefault="00EF581D" w:rsidP="004C34DD">
            <w:pPr>
              <w:rPr>
                <w:sz w:val="20"/>
              </w:rPr>
            </w:pPr>
            <w:r>
              <w:rPr>
                <w:sz w:val="20"/>
              </w:rPr>
              <w:t xml:space="preserve">5 </w:t>
            </w:r>
            <w:proofErr w:type="spellStart"/>
            <w:r>
              <w:rPr>
                <w:sz w:val="20"/>
              </w:rPr>
              <w:t>jablečnan</w:t>
            </w:r>
            <w:proofErr w:type="spellEnd"/>
          </w:p>
        </w:tc>
        <w:tc>
          <w:tcPr>
            <w:tcW w:w="1701" w:type="dxa"/>
          </w:tcPr>
          <w:p w:rsidR="00EF581D" w:rsidRDefault="00EF581D" w:rsidP="004C34DD">
            <w:pPr>
              <w:rPr>
                <w:sz w:val="20"/>
              </w:rPr>
            </w:pPr>
            <w:r>
              <w:rPr>
                <w:sz w:val="20"/>
              </w:rPr>
              <w:t>9 octan</w:t>
            </w:r>
          </w:p>
        </w:tc>
        <w:tc>
          <w:tcPr>
            <w:tcW w:w="2268" w:type="dxa"/>
          </w:tcPr>
          <w:p w:rsidR="00EF581D" w:rsidRDefault="00EF581D" w:rsidP="004C34DD">
            <w:pPr>
              <w:rPr>
                <w:sz w:val="20"/>
              </w:rPr>
            </w:pPr>
            <w:r>
              <w:rPr>
                <w:sz w:val="20"/>
              </w:rPr>
              <w:t xml:space="preserve">12 </w:t>
            </w:r>
            <w:proofErr w:type="spellStart"/>
            <w:r>
              <w:rPr>
                <w:sz w:val="20"/>
              </w:rPr>
              <w:t>pyrolidonkarboxylan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701" w:type="dxa"/>
          </w:tcPr>
          <w:p w:rsidR="00EF581D" w:rsidRDefault="00EF581D" w:rsidP="004C34DD">
            <w:pPr>
              <w:rPr>
                <w:sz w:val="20"/>
              </w:rPr>
            </w:pPr>
            <w:r>
              <w:rPr>
                <w:sz w:val="20"/>
              </w:rPr>
              <w:t xml:space="preserve">15 </w:t>
            </w:r>
            <w:proofErr w:type="spellStart"/>
            <w:r>
              <w:rPr>
                <w:sz w:val="20"/>
              </w:rPr>
              <w:t>sorban</w:t>
            </w:r>
            <w:proofErr w:type="spellEnd"/>
          </w:p>
        </w:tc>
      </w:tr>
      <w:tr w:rsidR="00EF581D" w:rsidTr="004C34D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</w:tcPr>
          <w:p w:rsidR="00EF581D" w:rsidRDefault="00EF581D" w:rsidP="004C34DD">
            <w:pPr>
              <w:rPr>
                <w:sz w:val="20"/>
              </w:rPr>
            </w:pPr>
            <w:r>
              <w:rPr>
                <w:sz w:val="20"/>
              </w:rPr>
              <w:t>2 síran</w:t>
            </w:r>
          </w:p>
        </w:tc>
        <w:tc>
          <w:tcPr>
            <w:tcW w:w="1701" w:type="dxa"/>
          </w:tcPr>
          <w:p w:rsidR="00EF581D" w:rsidRDefault="00EF581D" w:rsidP="004C34DD">
            <w:pPr>
              <w:rPr>
                <w:sz w:val="20"/>
              </w:rPr>
            </w:pPr>
            <w:r>
              <w:rPr>
                <w:sz w:val="20"/>
              </w:rPr>
              <w:t xml:space="preserve">6 </w:t>
            </w:r>
            <w:proofErr w:type="spellStart"/>
            <w:r>
              <w:rPr>
                <w:sz w:val="20"/>
              </w:rPr>
              <w:t>jantaran</w:t>
            </w:r>
            <w:proofErr w:type="spellEnd"/>
          </w:p>
        </w:tc>
        <w:tc>
          <w:tcPr>
            <w:tcW w:w="1701" w:type="dxa"/>
          </w:tcPr>
          <w:p w:rsidR="00EF581D" w:rsidRDefault="00EF581D" w:rsidP="004C34DD">
            <w:pPr>
              <w:rPr>
                <w:sz w:val="20"/>
              </w:rPr>
            </w:pPr>
            <w:r>
              <w:rPr>
                <w:sz w:val="20"/>
              </w:rPr>
              <w:t>10 mléčnan</w:t>
            </w:r>
          </w:p>
        </w:tc>
        <w:tc>
          <w:tcPr>
            <w:tcW w:w="2268" w:type="dxa"/>
          </w:tcPr>
          <w:p w:rsidR="00EF581D" w:rsidRDefault="00EF581D" w:rsidP="004C34DD">
            <w:pPr>
              <w:rPr>
                <w:sz w:val="20"/>
              </w:rPr>
            </w:pPr>
            <w:r>
              <w:rPr>
                <w:sz w:val="20"/>
              </w:rPr>
              <w:t>13 benzoan</w:t>
            </w:r>
          </w:p>
        </w:tc>
        <w:tc>
          <w:tcPr>
            <w:tcW w:w="1701" w:type="dxa"/>
          </w:tcPr>
          <w:p w:rsidR="00EF581D" w:rsidRDefault="00EF581D" w:rsidP="004C34DD">
            <w:pPr>
              <w:rPr>
                <w:sz w:val="20"/>
              </w:rPr>
            </w:pPr>
            <w:r>
              <w:rPr>
                <w:sz w:val="20"/>
              </w:rPr>
              <w:t>T MES</w:t>
            </w:r>
          </w:p>
        </w:tc>
      </w:tr>
      <w:tr w:rsidR="00EF581D" w:rsidTr="004C34DD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1701" w:type="dxa"/>
          </w:tcPr>
          <w:p w:rsidR="00EF581D" w:rsidRDefault="00EF581D" w:rsidP="004C34DD">
            <w:pPr>
              <w:rPr>
                <w:sz w:val="20"/>
              </w:rPr>
            </w:pPr>
            <w:r>
              <w:rPr>
                <w:sz w:val="20"/>
              </w:rPr>
              <w:t>3 šťavelan</w:t>
            </w:r>
          </w:p>
        </w:tc>
        <w:tc>
          <w:tcPr>
            <w:tcW w:w="1701" w:type="dxa"/>
          </w:tcPr>
          <w:p w:rsidR="00EF581D" w:rsidRDefault="00EF581D" w:rsidP="004C34DD">
            <w:pPr>
              <w:rPr>
                <w:sz w:val="20"/>
              </w:rPr>
            </w:pPr>
            <w:r>
              <w:rPr>
                <w:sz w:val="20"/>
              </w:rPr>
              <w:t>7 citronan</w:t>
            </w:r>
          </w:p>
        </w:tc>
        <w:tc>
          <w:tcPr>
            <w:tcW w:w="1701" w:type="dxa"/>
          </w:tcPr>
          <w:p w:rsidR="00EF581D" w:rsidRDefault="00EF581D" w:rsidP="004C34DD">
            <w:pPr>
              <w:rPr>
                <w:sz w:val="20"/>
              </w:rPr>
            </w:pPr>
          </w:p>
        </w:tc>
        <w:tc>
          <w:tcPr>
            <w:tcW w:w="2268" w:type="dxa"/>
          </w:tcPr>
          <w:p w:rsidR="00EF581D" w:rsidRDefault="00EF581D" w:rsidP="004C34DD">
            <w:pPr>
              <w:rPr>
                <w:sz w:val="20"/>
              </w:rPr>
            </w:pPr>
          </w:p>
        </w:tc>
        <w:tc>
          <w:tcPr>
            <w:tcW w:w="1701" w:type="dxa"/>
          </w:tcPr>
          <w:p w:rsidR="00EF581D" w:rsidRDefault="00EF581D" w:rsidP="004C34DD">
            <w:pPr>
              <w:rPr>
                <w:sz w:val="20"/>
              </w:rPr>
            </w:pPr>
          </w:p>
        </w:tc>
      </w:tr>
    </w:tbl>
    <w:p w:rsidR="00EF581D" w:rsidRDefault="00EF581D" w:rsidP="00EF581D"/>
    <w:p w:rsidR="00EF581D" w:rsidRDefault="00EF581D" w:rsidP="00EF581D">
      <w:pPr>
        <w:jc w:val="center"/>
        <w:rPr>
          <w:b/>
        </w:rPr>
      </w:pPr>
    </w:p>
    <w:p w:rsidR="00EF581D" w:rsidRDefault="00EF581D" w:rsidP="00EF581D">
      <w:pPr>
        <w:jc w:val="center"/>
        <w:rPr>
          <w:b/>
        </w:rPr>
      </w:pPr>
    </w:p>
    <w:p w:rsidR="00EF581D" w:rsidRDefault="00EF581D" w:rsidP="00EF581D">
      <w:pPr>
        <w:jc w:val="center"/>
        <w:rPr>
          <w:b/>
        </w:rPr>
      </w:pPr>
      <w:bookmarkStart w:id="0" w:name="_GoBack"/>
      <w:bookmarkEnd w:id="0"/>
      <w:proofErr w:type="spellStart"/>
      <w:r>
        <w:rPr>
          <w:b/>
        </w:rPr>
        <w:t>Isotachoferogram</w:t>
      </w:r>
      <w:proofErr w:type="spellEnd"/>
      <w:r>
        <w:rPr>
          <w:b/>
        </w:rPr>
        <w:t xml:space="preserve"> modelové směsi kationtů (1.7 mg NH</w:t>
      </w:r>
      <w:r>
        <w:rPr>
          <w:b/>
          <w:vertAlign w:val="subscript"/>
        </w:rPr>
        <w:t>3</w:t>
      </w:r>
      <w:r>
        <w:rPr>
          <w:b/>
        </w:rPr>
        <w:t xml:space="preserve">/l, 10 mg K/l, 2.5 mg Na/l, 2 mg Ca/l a 1.25 mg </w:t>
      </w:r>
      <w:proofErr w:type="gramStart"/>
      <w:r>
        <w:rPr>
          <w:b/>
        </w:rPr>
        <w:t>Mg/l) (A) a vzorku</w:t>
      </w:r>
      <w:proofErr w:type="gramEnd"/>
      <w:r>
        <w:rPr>
          <w:b/>
        </w:rPr>
        <w:t xml:space="preserve"> 100x zředěného pomerančového džusu (B)</w:t>
      </w:r>
    </w:p>
    <w:p w:rsidR="00EF581D" w:rsidRDefault="00EF581D" w:rsidP="00EF581D">
      <w:pPr>
        <w:jc w:val="center"/>
        <w:rPr>
          <w:b/>
        </w:rPr>
      </w:pPr>
    </w:p>
    <w:p w:rsidR="00A23436" w:rsidRDefault="00EF581D" w:rsidP="00EF581D">
      <w:r>
        <w:rPr>
          <w:sz w:val="20"/>
        </w:rPr>
        <w:object w:dxaOrig="15940" w:dyaOrig="6280">
          <v:shape id="_x0000_i1027" type="#_x0000_t75" style="width:429.75pt;height:187.5pt" o:ole="" fillcolor="window">
            <v:imagedata r:id="rId12" o:title=""/>
          </v:shape>
          <o:OLEObject Type="Embed" ProgID="MSDraw" ShapeID="_x0000_i1027" DrawAspect="Content" ObjectID="_1504438287" r:id="rId13"/>
        </w:object>
      </w:r>
    </w:p>
    <w:sectPr w:rsidR="00A23436" w:rsidSect="00EF581D">
      <w:headerReference w:type="default" r:id="rId14"/>
      <w:pgSz w:w="11906" w:h="16838"/>
      <w:pgMar w:top="1417" w:right="1417" w:bottom="1417" w:left="1417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35E6" w:rsidRDefault="001635E6" w:rsidP="00EF581D">
      <w:r>
        <w:separator/>
      </w:r>
    </w:p>
  </w:endnote>
  <w:endnote w:type="continuationSeparator" w:id="0">
    <w:p w:rsidR="001635E6" w:rsidRDefault="001635E6" w:rsidP="00EF5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35E6" w:rsidRDefault="001635E6" w:rsidP="00EF581D">
      <w:r>
        <w:separator/>
      </w:r>
    </w:p>
  </w:footnote>
  <w:footnote w:type="continuationSeparator" w:id="0">
    <w:p w:rsidR="001635E6" w:rsidRDefault="001635E6" w:rsidP="00EF581D">
      <w:r>
        <w:continuationSeparator/>
      </w:r>
    </w:p>
  </w:footnote>
  <w:footnote w:id="1">
    <w:p w:rsidR="00EF581D" w:rsidRDefault="00EF581D" w:rsidP="00EF581D">
      <w:pPr>
        <w:pStyle w:val="Textpoznpodarou"/>
      </w:pPr>
      <w:r>
        <w:rPr>
          <w:rStyle w:val="Znakapoznpodarou"/>
        </w:rPr>
        <w:footnoteRef/>
      </w:r>
      <w:r>
        <w:t xml:space="preserve"> od tohoto jevu je odvozen název </w:t>
      </w:r>
      <w:proofErr w:type="spellStart"/>
      <w:r>
        <w:rPr>
          <w:u w:val="single"/>
        </w:rPr>
        <w:t>isotachoforesa</w:t>
      </w:r>
      <w:proofErr w:type="spellEnd"/>
      <w:r>
        <w:t xml:space="preserve">; v řečtině </w:t>
      </w:r>
      <w:proofErr w:type="spellStart"/>
      <w:r>
        <w:rPr>
          <w:u w:val="single"/>
        </w:rPr>
        <w:t>isos</w:t>
      </w:r>
      <w:proofErr w:type="spellEnd"/>
      <w:r>
        <w:t xml:space="preserve"> (</w:t>
      </w:r>
      <w:r>
        <w:rPr>
          <w:rFonts w:ascii="Symbol" w:hAnsi="Symbol"/>
          <w:i/>
        </w:rPr>
        <w:t></w:t>
      </w:r>
      <w:r>
        <w:rPr>
          <w:rFonts w:ascii="Symbol" w:hAnsi="Symbol"/>
          <w:i/>
        </w:rPr>
        <w:t></w:t>
      </w:r>
      <w:r>
        <w:rPr>
          <w:rFonts w:ascii="Symbol" w:hAnsi="Symbol"/>
          <w:i/>
        </w:rPr>
        <w:t></w:t>
      </w:r>
      <w:r>
        <w:rPr>
          <w:rFonts w:ascii="Symbol" w:hAnsi="Symbol"/>
          <w:i/>
        </w:rPr>
        <w:t></w:t>
      </w:r>
      <w:r>
        <w:t xml:space="preserve">) = stejný a </w:t>
      </w:r>
      <w:proofErr w:type="spellStart"/>
      <w:r>
        <w:rPr>
          <w:u w:val="single"/>
        </w:rPr>
        <w:t>tachos</w:t>
      </w:r>
      <w:proofErr w:type="spellEnd"/>
      <w:r>
        <w:t xml:space="preserve"> (</w:t>
      </w:r>
      <w:r>
        <w:rPr>
          <w:rFonts w:ascii="Symbol" w:hAnsi="Symbol"/>
          <w:i/>
        </w:rPr>
        <w:t></w:t>
      </w:r>
      <w:r>
        <w:rPr>
          <w:rFonts w:ascii="Symbol" w:hAnsi="Symbol"/>
          <w:i/>
        </w:rPr>
        <w:t></w:t>
      </w:r>
      <w:r>
        <w:rPr>
          <w:rFonts w:ascii="Symbol" w:hAnsi="Symbol"/>
          <w:i/>
        </w:rPr>
        <w:t></w:t>
      </w:r>
      <w:r>
        <w:rPr>
          <w:rFonts w:ascii="Symbol" w:hAnsi="Symbol"/>
          <w:i/>
        </w:rPr>
        <w:t></w:t>
      </w:r>
      <w:r>
        <w:rPr>
          <w:rFonts w:ascii="Symbol" w:hAnsi="Symbol"/>
          <w:i/>
        </w:rPr>
        <w:t></w:t>
      </w:r>
      <w:r>
        <w:t>) = rychlost</w:t>
      </w:r>
    </w:p>
  </w:footnote>
  <w:footnote w:id="2">
    <w:p w:rsidR="00EF581D" w:rsidRDefault="00EF581D" w:rsidP="00EF581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gramStart"/>
      <w:r>
        <w:t>1,4,7,10,13,16-hexaoxacyklooktadekan</w:t>
      </w:r>
      <w:proofErr w:type="gramEnd"/>
      <w:r>
        <w:t xml:space="preserve">; </w:t>
      </w:r>
      <w:proofErr w:type="spellStart"/>
      <w:r>
        <w:t>komplexační</w:t>
      </w:r>
      <w:proofErr w:type="spellEnd"/>
      <w:r>
        <w:t xml:space="preserve"> činidlo umožňující separaci amonného a draselného iontu</w:t>
      </w:r>
    </w:p>
  </w:footnote>
  <w:footnote w:id="3">
    <w:p w:rsidR="00EF581D" w:rsidRDefault="00EF581D" w:rsidP="00EF581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hydroxyethyl</w:t>
      </w:r>
      <w:proofErr w:type="spellEnd"/>
      <w:r>
        <w:t xml:space="preserve"> </w:t>
      </w:r>
      <w:proofErr w:type="spellStart"/>
      <w:r>
        <w:t>celulosa</w:t>
      </w:r>
      <w:proofErr w:type="spellEnd"/>
    </w:p>
  </w:footnote>
  <w:footnote w:id="4">
    <w:p w:rsidR="00EF581D" w:rsidRDefault="00EF581D" w:rsidP="00EF581D">
      <w:pPr>
        <w:pStyle w:val="Textpoznpodarou"/>
      </w:pPr>
      <w:r>
        <w:rPr>
          <w:rStyle w:val="Znakapoznpodarou"/>
        </w:rPr>
        <w:footnoteRef/>
      </w:r>
      <w:r>
        <w:t xml:space="preserve"> Bis-</w:t>
      </w:r>
      <w:proofErr w:type="spellStart"/>
      <w:r>
        <w:t>Tris</w:t>
      </w:r>
      <w:proofErr w:type="spellEnd"/>
      <w:r>
        <w:t xml:space="preserve"> Propan</w:t>
      </w:r>
    </w:p>
  </w:footnote>
  <w:footnote w:id="5">
    <w:p w:rsidR="00EF581D" w:rsidRDefault="00EF581D" w:rsidP="00EF581D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proofErr w:type="spellStart"/>
      <w:r>
        <w:t>hydroxyethyl</w:t>
      </w:r>
      <w:proofErr w:type="spellEnd"/>
      <w:r>
        <w:t xml:space="preserve"> </w:t>
      </w:r>
      <w:proofErr w:type="spellStart"/>
      <w:r>
        <w:t>celulosa</w:t>
      </w:r>
      <w:proofErr w:type="spellEnd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581D" w:rsidRDefault="00EF581D">
    <w:pPr>
      <w:pStyle w:val="Zhlav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BE177E5" wp14:editId="63C146DC">
          <wp:simplePos x="0" y="0"/>
          <wp:positionH relativeFrom="column">
            <wp:posOffset>-381000</wp:posOffset>
          </wp:positionH>
          <wp:positionV relativeFrom="paragraph">
            <wp:posOffset>-38735</wp:posOffset>
          </wp:positionV>
          <wp:extent cx="3923665" cy="481330"/>
          <wp:effectExtent l="0" t="0" r="635" b="0"/>
          <wp:wrapNone/>
          <wp:docPr id="1" name="Obrázek 1" descr="ustav_logoVSCHT_FPBT_324UK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stav_logoVSCHT_FPBT_324UK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23665" cy="481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581D" w:rsidRDefault="00EF581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2241333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81D"/>
    <w:rsid w:val="001635E6"/>
    <w:rsid w:val="00A23436"/>
    <w:rsid w:val="00D86373"/>
    <w:rsid w:val="00E30750"/>
    <w:rsid w:val="00EF5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A2BC61-0A03-4255-9D8C-976AB3084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F581D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EF581D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EF581D"/>
  </w:style>
  <w:style w:type="paragraph" w:styleId="Zpat">
    <w:name w:val="footer"/>
    <w:basedOn w:val="Normln"/>
    <w:link w:val="ZpatChar"/>
    <w:uiPriority w:val="99"/>
    <w:unhideWhenUsed/>
    <w:rsid w:val="00EF581D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F581D"/>
  </w:style>
  <w:style w:type="paragraph" w:styleId="Normlnodsazen">
    <w:name w:val="Normal Indent"/>
    <w:basedOn w:val="Normln"/>
    <w:next w:val="Normln"/>
    <w:semiHidden/>
    <w:rsid w:val="00EF581D"/>
    <w:pPr>
      <w:ind w:firstLine="567"/>
    </w:pPr>
  </w:style>
  <w:style w:type="character" w:styleId="Znakapoznpodarou">
    <w:name w:val="footnote reference"/>
    <w:semiHidden/>
    <w:rsid w:val="00EF581D"/>
    <w:rPr>
      <w:position w:val="6"/>
      <w:sz w:val="16"/>
    </w:rPr>
  </w:style>
  <w:style w:type="paragraph" w:styleId="Textpoznpodarou">
    <w:name w:val="footnote text"/>
    <w:basedOn w:val="Normln"/>
    <w:link w:val="TextpoznpodarouChar"/>
    <w:semiHidden/>
    <w:rsid w:val="00EF581D"/>
    <w:pPr>
      <w:jc w:val="left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EF581D"/>
    <w:rPr>
      <w:rFonts w:ascii="Times New Roman" w:eastAsia="Times New Roman" w:hAnsi="Times New Roman" w:cs="Times New Roman"/>
      <w:snapToGrid w:val="0"/>
      <w:sz w:val="20"/>
      <w:szCs w:val="20"/>
      <w:lang w:eastAsia="cs-CZ"/>
    </w:rPr>
  </w:style>
  <w:style w:type="paragraph" w:styleId="Nzev">
    <w:name w:val="Title"/>
    <w:basedOn w:val="Normln"/>
    <w:link w:val="NzevChar"/>
    <w:qFormat/>
    <w:rsid w:val="00EF581D"/>
    <w:pPr>
      <w:spacing w:before="240"/>
      <w:jc w:val="center"/>
    </w:pPr>
    <w:rPr>
      <w:b/>
      <w:sz w:val="36"/>
    </w:rPr>
  </w:style>
  <w:style w:type="character" w:customStyle="1" w:styleId="NzevChar">
    <w:name w:val="Název Char"/>
    <w:basedOn w:val="Standardnpsmoodstavce"/>
    <w:link w:val="Nzev"/>
    <w:rsid w:val="00EF581D"/>
    <w:rPr>
      <w:rFonts w:ascii="Times New Roman" w:eastAsia="Times New Roman" w:hAnsi="Times New Roman" w:cs="Times New Roman"/>
      <w:b/>
      <w:snapToGrid w:val="0"/>
      <w:sz w:val="36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oleObject" Target="embeddings/oleObject3.bin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826DA2-7FA4-4D3E-9FE1-E4B70A6C66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585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VSCHT Praha</Company>
  <LinksUpToDate>false</LinksUpToDate>
  <CharactersWithSpaces>4031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Vaclavikova Eliska</dc:creator>
  <cp:keywords/>
  <dc:description/>
  <cp:lastModifiedBy>Vaclavikova Eliska</cp:lastModifiedBy>
  <cp:revision>1</cp:revision>
  <dcterms:created xsi:type="dcterms:W3CDTF">2015-09-22T12:39:00Z</dcterms:created>
  <dcterms:modified xsi:type="dcterms:W3CDTF">2015-09-22T12:45:00Z</dcterms:modified>
</cp:coreProperties>
</file>